
<file path=[Content_Types].xml><?xml version="1.0" encoding="utf-8"?>
<Types xmlns="http://schemas.openxmlformats.org/package/2006/content-types">
  <Default Extension="png" ContentType="image/png"/>
  <Default Extension="tmp" ContentType="image/png"/>
  <Default Extension="bin" ContentType="image/x-e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74E1F1" w14:textId="6D5725F2" w:rsidR="00D24A4B" w:rsidRDefault="00D24A4B" w:rsidP="00D24A4B">
      <w:pPr>
        <w:pStyle w:val="Heading10"/>
      </w:pPr>
      <w:bookmarkStart w:id="0" w:name="_Toc517174972"/>
      <w:bookmarkStart w:id="1" w:name="_Toc518548576"/>
      <w:r>
        <w:t xml:space="preserve">Section 6: </w:t>
      </w:r>
      <w:r w:rsidRPr="00722311">
        <w:t>HPE GreenLake Flex Capacity Packages</w:t>
      </w:r>
      <w:bookmarkEnd w:id="0"/>
      <w:bookmarkEnd w:id="1"/>
      <w:r w:rsidR="00092841">
        <w:t xml:space="preserve"> – Technical Requirements</w:t>
      </w:r>
      <w:bookmarkStart w:id="2" w:name="_GoBack"/>
      <w:bookmarkEnd w:id="2"/>
    </w:p>
    <w:p w14:paraId="7B0C9584" w14:textId="77777777" w:rsidR="00D24A4B" w:rsidRPr="00143AB4" w:rsidRDefault="00D24A4B" w:rsidP="00D24A4B">
      <w:pPr>
        <w:keepNext/>
        <w:shd w:val="clear" w:color="auto" w:fill="E2EFD9" w:themeFill="accent6" w:themeFillTint="33"/>
        <w:spacing w:after="120" w:line="240" w:lineRule="auto"/>
        <w:rPr>
          <w:rFonts w:ascii="Arial" w:eastAsia="PMingLiU" w:hAnsi="Arial" w:cs="Times New Roman"/>
          <w:szCs w:val="20"/>
        </w:rPr>
      </w:pPr>
      <w:r w:rsidRPr="00121163">
        <w:rPr>
          <w:rFonts w:ascii="Arial" w:eastAsia="PMingLiU" w:hAnsi="Arial" w:cs="Times New Roman"/>
          <w:szCs w:val="20"/>
        </w:rPr>
        <w:t>HPE</w:t>
      </w:r>
      <w:r>
        <w:rPr>
          <w:rFonts w:ascii="Arial" w:eastAsia="PMingLiU" w:hAnsi="Arial" w:cs="Times New Roman"/>
          <w:szCs w:val="20"/>
        </w:rPr>
        <w:t>’s</w:t>
      </w:r>
      <w:r w:rsidRPr="00121163">
        <w:rPr>
          <w:rFonts w:ascii="Arial" w:eastAsia="PMingLiU" w:hAnsi="Arial" w:cs="Times New Roman"/>
          <w:szCs w:val="20"/>
        </w:rPr>
        <w:t xml:space="preserve"> </w:t>
      </w:r>
      <w:r>
        <w:rPr>
          <w:rFonts w:ascii="Arial" w:eastAsia="PMingLiU" w:hAnsi="Arial" w:cs="Times New Roman"/>
          <w:szCs w:val="20"/>
        </w:rPr>
        <w:t>h</w:t>
      </w:r>
      <w:r w:rsidRPr="00121163">
        <w:rPr>
          <w:rFonts w:ascii="Arial" w:eastAsia="PMingLiU" w:hAnsi="Arial" w:cs="Times New Roman"/>
          <w:szCs w:val="20"/>
        </w:rPr>
        <w:t xml:space="preserve">ybrid </w:t>
      </w:r>
      <w:r>
        <w:rPr>
          <w:rFonts w:ascii="Arial" w:eastAsia="PMingLiU" w:hAnsi="Arial" w:cs="Times New Roman"/>
          <w:szCs w:val="20"/>
        </w:rPr>
        <w:t>c</w:t>
      </w:r>
      <w:r w:rsidRPr="00121163">
        <w:rPr>
          <w:rFonts w:ascii="Arial" w:eastAsia="PMingLiU" w:hAnsi="Arial" w:cs="Times New Roman"/>
          <w:szCs w:val="20"/>
        </w:rPr>
        <w:t>loud solution delivers a new</w:t>
      </w:r>
      <w:r>
        <w:rPr>
          <w:rFonts w:ascii="Arial" w:eastAsia="PMingLiU" w:hAnsi="Arial" w:cs="Times New Roman"/>
          <w:szCs w:val="20"/>
        </w:rPr>
        <w:t>, fully-integrated</w:t>
      </w:r>
      <w:r w:rsidRPr="00121163">
        <w:rPr>
          <w:rFonts w:ascii="Arial" w:eastAsia="PMingLiU" w:hAnsi="Arial" w:cs="Times New Roman"/>
          <w:szCs w:val="20"/>
        </w:rPr>
        <w:t xml:space="preserve"> consumption-based IT model that delivers Azure compatible, software defined Infrastructure-as-a-Service (IaaS), Platform-as-a-Service (PaaS) on HPE hardware and Software-as-a-Service (SaaS) on Microsof</w:t>
      </w:r>
      <w:r>
        <w:rPr>
          <w:rFonts w:ascii="Arial" w:eastAsia="PMingLiU" w:hAnsi="Arial" w:cs="Times New Roman"/>
          <w:szCs w:val="20"/>
        </w:rPr>
        <w:t>t’ Azure public and government cloud services</w:t>
      </w:r>
      <w:r w:rsidRPr="00143AB4">
        <w:rPr>
          <w:rFonts w:ascii="Arial" w:eastAsia="PMingLiU" w:hAnsi="Arial" w:cs="Times New Roman"/>
          <w:szCs w:val="20"/>
        </w:rPr>
        <w:t>:</w:t>
      </w:r>
    </w:p>
    <w:p w14:paraId="2CD0E749" w14:textId="77777777" w:rsidR="00D24A4B" w:rsidRDefault="00D24A4B" w:rsidP="00486253">
      <w:pPr>
        <w:pStyle w:val="ListParagraph"/>
        <w:numPr>
          <w:ilvl w:val="0"/>
          <w:numId w:val="37"/>
        </w:numPr>
        <w:shd w:val="clear" w:color="auto" w:fill="E2EFD9" w:themeFill="accent6" w:themeFillTint="33"/>
        <w:rPr>
          <w:rFonts w:ascii="Arial" w:eastAsia="PMingLiU" w:hAnsi="Arial" w:cs="Times New Roman"/>
          <w:color w:val="000000"/>
          <w:szCs w:val="20"/>
        </w:rPr>
      </w:pPr>
      <w:r w:rsidRPr="00F762E7">
        <w:rPr>
          <w:rFonts w:ascii="Arial" w:eastAsia="PMingLiU" w:hAnsi="Arial" w:cs="Times New Roman"/>
          <w:color w:val="000000"/>
          <w:szCs w:val="20"/>
        </w:rPr>
        <w:t>A comprehensive hybrid IT solution that provides the hardware and HPE technical services tailored for the IT and business use</w:t>
      </w:r>
    </w:p>
    <w:p w14:paraId="65459896" w14:textId="77777777" w:rsidR="00D24A4B" w:rsidRPr="00F762E7" w:rsidRDefault="00D24A4B" w:rsidP="00486253">
      <w:pPr>
        <w:pStyle w:val="ListParagraph"/>
        <w:numPr>
          <w:ilvl w:val="0"/>
          <w:numId w:val="37"/>
        </w:numPr>
        <w:shd w:val="clear" w:color="auto" w:fill="E2EFD9" w:themeFill="accent6" w:themeFillTint="33"/>
        <w:rPr>
          <w:rFonts w:ascii="Arial" w:eastAsia="PMingLiU" w:hAnsi="Arial" w:cs="Times New Roman"/>
          <w:color w:val="000000"/>
          <w:szCs w:val="20"/>
        </w:rPr>
      </w:pPr>
      <w:r w:rsidRPr="00F762E7">
        <w:rPr>
          <w:rFonts w:ascii="Arial" w:eastAsia="PMingLiU" w:hAnsi="Arial" w:cs="Times New Roman"/>
          <w:color w:val="000000"/>
          <w:szCs w:val="20"/>
        </w:rPr>
        <w:t>Reduce the complexity of services by automatically managing and provisioning new and existing services from a single portal</w:t>
      </w:r>
    </w:p>
    <w:p w14:paraId="39FB8DC1" w14:textId="77777777" w:rsidR="00D24A4B" w:rsidRPr="00F762E7" w:rsidRDefault="00D24A4B" w:rsidP="00486253">
      <w:pPr>
        <w:pStyle w:val="ListParagraph"/>
        <w:numPr>
          <w:ilvl w:val="0"/>
          <w:numId w:val="37"/>
        </w:numPr>
        <w:shd w:val="clear" w:color="auto" w:fill="E2EFD9" w:themeFill="accent6" w:themeFillTint="33"/>
        <w:rPr>
          <w:rFonts w:ascii="Arial" w:eastAsia="PMingLiU" w:hAnsi="Arial" w:cs="Times New Roman"/>
          <w:color w:val="000000"/>
          <w:szCs w:val="20"/>
        </w:rPr>
      </w:pPr>
      <w:r w:rsidRPr="00F762E7">
        <w:rPr>
          <w:rFonts w:ascii="Arial" w:eastAsia="PMingLiU" w:hAnsi="Arial" w:cs="Times New Roman"/>
          <w:color w:val="000000"/>
          <w:szCs w:val="20"/>
        </w:rPr>
        <w:t>Enjoy operational efficiency and stability with the right mix of cloud and on-premises IT</w:t>
      </w:r>
    </w:p>
    <w:p w14:paraId="027A0819" w14:textId="77777777" w:rsidR="00D24A4B" w:rsidRDefault="00D24A4B" w:rsidP="00486253">
      <w:pPr>
        <w:pStyle w:val="ListParagraph"/>
        <w:numPr>
          <w:ilvl w:val="0"/>
          <w:numId w:val="37"/>
        </w:numPr>
        <w:shd w:val="clear" w:color="auto" w:fill="E2EFD9" w:themeFill="accent6" w:themeFillTint="33"/>
      </w:pPr>
      <w:r w:rsidRPr="00F762E7">
        <w:rPr>
          <w:rFonts w:ascii="Arial" w:eastAsia="PMingLiU" w:hAnsi="Arial" w:cs="Times New Roman"/>
          <w:color w:val="000000"/>
          <w:szCs w:val="20"/>
        </w:rPr>
        <w:t>HPE shares in business risk by installing capacity ahead of the demand</w:t>
      </w:r>
    </w:p>
    <w:p w14:paraId="1E955889" w14:textId="77777777" w:rsidR="00D24A4B" w:rsidRDefault="00D24A4B" w:rsidP="00D24A4B">
      <w:pPr>
        <w:pStyle w:val="BodyText0"/>
      </w:pPr>
      <w:r>
        <w:t>This section should constitute the Technical response of the proposal and must contain at least the following information:</w:t>
      </w:r>
    </w:p>
    <w:p w14:paraId="6272551D" w14:textId="77777777" w:rsidR="00D24A4B" w:rsidRDefault="00D24A4B" w:rsidP="00D24A4B">
      <w:pPr>
        <w:pStyle w:val="Bullet1Double0"/>
        <w:shd w:val="clear" w:color="auto" w:fill="DBDCDD"/>
      </w:pPr>
      <w:r>
        <w:t>A.</w:t>
      </w:r>
      <w:r>
        <w:tab/>
        <w:t xml:space="preserve">A complete narrative of the Offeror's assessment of the Cloud Solutions to be provided, the Offerors ability and approach, and the resources necessary to fulfill the requirements. This should demonstrate the Offeror's understanding of the desired overall performance expectations and clearly indicate any options or alternatives proposed. </w:t>
      </w:r>
    </w:p>
    <w:p w14:paraId="5738261B" w14:textId="77777777" w:rsidR="00D24A4B" w:rsidRPr="00AA57C8" w:rsidRDefault="00D24A4B" w:rsidP="00D24A4B">
      <w:pPr>
        <w:pStyle w:val="Heading30"/>
      </w:pPr>
      <w:bookmarkStart w:id="3" w:name="_Toc517174973"/>
      <w:bookmarkStart w:id="4" w:name="_Toc518548577"/>
      <w:r w:rsidRPr="00AA57C8">
        <w:t>HPE GreenLake Flex Capacity Packages Solution</w:t>
      </w:r>
      <w:bookmarkEnd w:id="3"/>
      <w:bookmarkEnd w:id="4"/>
    </w:p>
    <w:p w14:paraId="201ABB38" w14:textId="77777777" w:rsidR="00D24A4B" w:rsidRPr="00191A37" w:rsidRDefault="00D24A4B" w:rsidP="00D24A4B">
      <w:pPr>
        <w:pStyle w:val="BodyText"/>
      </w:pPr>
      <w:r w:rsidRPr="00143AB4">
        <w:t xml:space="preserve">HPE is proposing a comprehensive solution based </w:t>
      </w:r>
      <w:r>
        <w:t>on</w:t>
      </w:r>
      <w:r w:rsidRPr="00143AB4">
        <w:t xml:space="preserve"> HPE</w:t>
      </w:r>
      <w:r>
        <w:t>’s</w:t>
      </w:r>
      <w:r w:rsidRPr="00143AB4">
        <w:t xml:space="preserve"> GreenLake Flex Capacity </w:t>
      </w:r>
      <w:r>
        <w:t xml:space="preserve">packages which will </w:t>
      </w:r>
      <w:r w:rsidRPr="00191A37">
        <w:t xml:space="preserve">lower cost, </w:t>
      </w:r>
      <w:r>
        <w:t xml:space="preserve">provide </w:t>
      </w:r>
      <w:r w:rsidRPr="00191A37">
        <w:t>elastic capacity</w:t>
      </w:r>
      <w:r>
        <w:t xml:space="preserve"> and</w:t>
      </w:r>
      <w:r w:rsidRPr="00191A37">
        <w:t xml:space="preserve"> enterprise support for Hybrid IT </w:t>
      </w:r>
      <w:r>
        <w:t xml:space="preserve">by </w:t>
      </w:r>
      <w:r w:rsidRPr="00191A37">
        <w:t>deliver</w:t>
      </w:r>
      <w:r>
        <w:t>ing</w:t>
      </w:r>
      <w:r w:rsidRPr="00191A37">
        <w:t xml:space="preserve"> a public cloud experience with the benefits of on premise private cloud. </w:t>
      </w:r>
      <w:r>
        <w:t xml:space="preserve">The GreenLake Flexible Capacity packages are built on world class infrastructure components from HPE across Server, Storage, Network and Software services. </w:t>
      </w:r>
      <w:r w:rsidRPr="00191A37">
        <w:t xml:space="preserve">This service prepares you for growth and gives you the agility to get applications to </w:t>
      </w:r>
      <w:r>
        <w:t>operational</w:t>
      </w:r>
      <w:r w:rsidRPr="00191A37">
        <w:t xml:space="preserve"> right away—in minutes—without waiting months to expand </w:t>
      </w:r>
      <w:r>
        <w:t>the</w:t>
      </w:r>
      <w:r w:rsidRPr="00191A37">
        <w:t xml:space="preserve"> IT infrastructure, all while using “pay as you go” billing. </w:t>
      </w:r>
    </w:p>
    <w:p w14:paraId="3C8D0BEA" w14:textId="77777777" w:rsidR="00D24A4B" w:rsidRPr="00191A37" w:rsidRDefault="00D24A4B" w:rsidP="00D24A4B">
      <w:pPr>
        <w:pStyle w:val="BodyText"/>
      </w:pPr>
      <w:r w:rsidRPr="00191A37">
        <w:t>Flexible Capacity is a great way to enable capacity ahead of demand:</w:t>
      </w:r>
    </w:p>
    <w:p w14:paraId="0A0EEF2C" w14:textId="77777777" w:rsidR="00D24A4B" w:rsidRPr="00191A37" w:rsidRDefault="00D24A4B" w:rsidP="00D24A4B">
      <w:pPr>
        <w:pStyle w:val="Bullet1Double"/>
        <w:numPr>
          <w:ilvl w:val="0"/>
          <w:numId w:val="9"/>
        </w:numPr>
      </w:pPr>
      <w:r w:rsidRPr="00191A37">
        <w:t>Acquisition of new capacity faster</w:t>
      </w:r>
    </w:p>
    <w:p w14:paraId="79FA1252" w14:textId="77777777" w:rsidR="00D24A4B" w:rsidRPr="00191A37" w:rsidRDefault="00D24A4B" w:rsidP="00D24A4B">
      <w:pPr>
        <w:pStyle w:val="Bullet1Double"/>
        <w:numPr>
          <w:ilvl w:val="0"/>
          <w:numId w:val="9"/>
        </w:numPr>
      </w:pPr>
      <w:r>
        <w:t>C</w:t>
      </w:r>
      <w:r w:rsidRPr="00191A37">
        <w:t>ontinuously optimizes the existing capacity</w:t>
      </w:r>
    </w:p>
    <w:p w14:paraId="099DBB7E" w14:textId="77777777" w:rsidR="00D24A4B" w:rsidRPr="00191A37" w:rsidRDefault="00D24A4B" w:rsidP="00D24A4B">
      <w:pPr>
        <w:pStyle w:val="Bullet1Double"/>
        <w:numPr>
          <w:ilvl w:val="0"/>
          <w:numId w:val="9"/>
        </w:numPr>
      </w:pPr>
      <w:r w:rsidRPr="00191A37">
        <w:t>Pay for the capacity you actually use</w:t>
      </w:r>
    </w:p>
    <w:p w14:paraId="032E933D" w14:textId="77777777" w:rsidR="00D24A4B" w:rsidRPr="00191A37" w:rsidRDefault="00D24A4B" w:rsidP="00D24A4B">
      <w:pPr>
        <w:pStyle w:val="Bullet1Double"/>
        <w:numPr>
          <w:ilvl w:val="0"/>
          <w:numId w:val="9"/>
        </w:numPr>
      </w:pPr>
      <w:r w:rsidRPr="00191A37">
        <w:t>Variable billing by product classes</w:t>
      </w:r>
    </w:p>
    <w:p w14:paraId="2CD3430F" w14:textId="77777777" w:rsidR="00D24A4B" w:rsidRPr="00191A37" w:rsidRDefault="00D24A4B" w:rsidP="00D24A4B">
      <w:pPr>
        <w:pStyle w:val="Bullet1Double"/>
        <w:numPr>
          <w:ilvl w:val="0"/>
          <w:numId w:val="9"/>
        </w:numPr>
      </w:pPr>
      <w:r w:rsidRPr="00191A37">
        <w:t>Internal charge-back of the usage of capacity</w:t>
      </w:r>
    </w:p>
    <w:p w14:paraId="3FC05D42" w14:textId="77777777" w:rsidR="00D24A4B" w:rsidRPr="00191A37" w:rsidRDefault="00D24A4B" w:rsidP="00D24A4B">
      <w:pPr>
        <w:pStyle w:val="BodyText"/>
      </w:pPr>
      <w:r w:rsidRPr="00191A37">
        <w:t>Reduce the Cost and Risk:</w:t>
      </w:r>
    </w:p>
    <w:p w14:paraId="51C69068" w14:textId="77777777" w:rsidR="00D24A4B" w:rsidRPr="00191A37" w:rsidRDefault="00D24A4B" w:rsidP="00D24A4B">
      <w:pPr>
        <w:pStyle w:val="Bullet1Double"/>
        <w:numPr>
          <w:ilvl w:val="0"/>
          <w:numId w:val="9"/>
        </w:numPr>
      </w:pPr>
      <w:r w:rsidRPr="00191A37">
        <w:t>Enjoy operational efficiency and stability with the right mix of cloud and on-premises IT</w:t>
      </w:r>
    </w:p>
    <w:p w14:paraId="499EC10B" w14:textId="77777777" w:rsidR="00D24A4B" w:rsidRPr="00191A37" w:rsidRDefault="00D24A4B" w:rsidP="00D24A4B">
      <w:pPr>
        <w:pStyle w:val="Bullet1Double"/>
        <w:numPr>
          <w:ilvl w:val="0"/>
          <w:numId w:val="9"/>
        </w:numPr>
      </w:pPr>
      <w:r w:rsidRPr="00191A37">
        <w:t>HPE shares in risk by installing capacity ahead of the demand</w:t>
      </w:r>
    </w:p>
    <w:p w14:paraId="6A60A5F9" w14:textId="77777777" w:rsidR="00D24A4B" w:rsidRDefault="00D24A4B" w:rsidP="00D24A4B">
      <w:pPr>
        <w:pStyle w:val="BodyText"/>
      </w:pPr>
    </w:p>
    <w:p w14:paraId="18CC3FA4" w14:textId="77777777" w:rsidR="00D24A4B" w:rsidRDefault="00D24A4B" w:rsidP="00D24A4B">
      <w:pPr>
        <w:pStyle w:val="BodyText"/>
      </w:pPr>
    </w:p>
    <w:p w14:paraId="6EB2258E" w14:textId="77777777" w:rsidR="00D24A4B" w:rsidRDefault="00D24A4B" w:rsidP="00D24A4B">
      <w:pPr>
        <w:pStyle w:val="BodyText"/>
      </w:pPr>
      <w:r w:rsidRPr="00AA57C8">
        <w:t xml:space="preserve">HPE GreenLake Flex Capacity Packages let you keep key workloads on-premises for increased security, privacy, latency, compliance, and control and use the public </w:t>
      </w:r>
      <w:r>
        <w:t xml:space="preserve">or government </w:t>
      </w:r>
      <w:r w:rsidRPr="00AA57C8">
        <w:t>cloud when appropriate.</w:t>
      </w:r>
    </w:p>
    <w:p w14:paraId="4357B484" w14:textId="77777777" w:rsidR="00D24A4B" w:rsidRDefault="00D24A4B" w:rsidP="00D24A4B">
      <w:pPr>
        <w:pStyle w:val="BodyText"/>
      </w:pPr>
      <w:r w:rsidRPr="00AA57C8">
        <w:t xml:space="preserve">HPE GreenLake </w:t>
      </w:r>
      <w:r w:rsidRPr="00191A37">
        <w:t xml:space="preserve">Flex Capacity Packages </w:t>
      </w:r>
      <w:r w:rsidRPr="00AA57C8">
        <w:t xml:space="preserve">introduces a proven efficient financial solution for providing the necessary IT capacity on a variable basis. </w:t>
      </w:r>
      <w:r>
        <w:t>HPE does the IT heavy lifting, and you get a simple, pay-per-use environment, maintaining full control of your apps and data in your own environment with:</w:t>
      </w:r>
    </w:p>
    <w:p w14:paraId="16B51694" w14:textId="77777777" w:rsidR="00D24A4B" w:rsidRDefault="00D24A4B" w:rsidP="00D24A4B">
      <w:pPr>
        <w:pStyle w:val="BodyText"/>
      </w:pPr>
      <w:r>
        <w:t>•</w:t>
      </w:r>
      <w:r>
        <w:tab/>
        <w:t>Rapid onboarding</w:t>
      </w:r>
    </w:p>
    <w:p w14:paraId="3C2FF173" w14:textId="77777777" w:rsidR="00D24A4B" w:rsidRDefault="00D24A4B" w:rsidP="00D24A4B">
      <w:pPr>
        <w:pStyle w:val="BodyText"/>
      </w:pPr>
      <w:r>
        <w:t>•</w:t>
      </w:r>
      <w:r>
        <w:tab/>
        <w:t>No capital outlay</w:t>
      </w:r>
    </w:p>
    <w:p w14:paraId="164E9FC6" w14:textId="77777777" w:rsidR="00D24A4B" w:rsidRDefault="00D24A4B" w:rsidP="00D24A4B">
      <w:pPr>
        <w:pStyle w:val="BodyText"/>
      </w:pPr>
      <w:r>
        <w:t>•</w:t>
      </w:r>
      <w:r>
        <w:tab/>
        <w:t>The solution designed and integrated</w:t>
      </w:r>
    </w:p>
    <w:p w14:paraId="61541DFC" w14:textId="77777777" w:rsidR="00D24A4B" w:rsidRDefault="00D24A4B" w:rsidP="00D24A4B">
      <w:pPr>
        <w:pStyle w:val="BodyText"/>
      </w:pPr>
      <w:r>
        <w:t>•</w:t>
      </w:r>
      <w:r>
        <w:tab/>
        <w:t>Elastic IT that evolves ahead of your needs</w:t>
      </w:r>
    </w:p>
    <w:p w14:paraId="730F2915" w14:textId="77777777" w:rsidR="00D24A4B" w:rsidRPr="00143AB4" w:rsidRDefault="00D24A4B" w:rsidP="00D24A4B">
      <w:pPr>
        <w:pStyle w:val="FigureCaptionAuto"/>
        <w:ind w:left="432" w:hanging="432"/>
      </w:pPr>
      <w:r>
        <w:t>Pay for the Capacity You Actually Use</w:t>
      </w:r>
    </w:p>
    <w:p w14:paraId="27A7F0FC" w14:textId="77777777" w:rsidR="00D24A4B" w:rsidRPr="00143AB4" w:rsidRDefault="00D24A4B" w:rsidP="00D24A4B">
      <w:pPr>
        <w:spacing w:after="120" w:line="240" w:lineRule="auto"/>
        <w:jc w:val="center"/>
        <w:rPr>
          <w:rFonts w:ascii="Arial" w:eastAsia="PMingLiU" w:hAnsi="Arial" w:cs="Times New Roman"/>
          <w:color w:val="000000"/>
          <w:szCs w:val="20"/>
        </w:rPr>
      </w:pPr>
      <w:r w:rsidRPr="00143AB4">
        <w:rPr>
          <w:rFonts w:ascii="Arial" w:eastAsia="PMingLiU" w:hAnsi="Arial" w:cs="Times New Roman"/>
          <w:noProof/>
          <w:color w:val="000000"/>
          <w:szCs w:val="20"/>
          <w:lang w:val="en-GB" w:eastAsia="en-GB"/>
        </w:rPr>
        <w:drawing>
          <wp:inline distT="0" distB="0" distL="0" distR="0" wp14:anchorId="6BAD0D55" wp14:editId="68E55C4E">
            <wp:extent cx="4584700" cy="415798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84700" cy="4157980"/>
                    </a:xfrm>
                    <a:prstGeom prst="rect">
                      <a:avLst/>
                    </a:prstGeom>
                    <a:noFill/>
                  </pic:spPr>
                </pic:pic>
              </a:graphicData>
            </a:graphic>
          </wp:inline>
        </w:drawing>
      </w:r>
    </w:p>
    <w:p w14:paraId="70D4ABD1" w14:textId="77777777" w:rsidR="00D24A4B" w:rsidRDefault="00D24A4B" w:rsidP="00D24A4B">
      <w:pPr>
        <w:pStyle w:val="BodyText"/>
      </w:pPr>
    </w:p>
    <w:p w14:paraId="29D05A94" w14:textId="77777777" w:rsidR="00D24A4B" w:rsidRDefault="00D24A4B" w:rsidP="00D24A4B">
      <w:pPr>
        <w:pStyle w:val="BodyText"/>
      </w:pPr>
      <w:r w:rsidRPr="00AA57C8">
        <w:t xml:space="preserve">HPE will work with the participating entity to choose the most efficient and cost effective capacity requirements, software and services that answer to their specific </w:t>
      </w:r>
      <w:r>
        <w:t>cloud solution</w:t>
      </w:r>
      <w:r w:rsidRPr="00AA57C8">
        <w:t xml:space="preserve"> needs. </w:t>
      </w:r>
    </w:p>
    <w:p w14:paraId="392F97BD" w14:textId="77777777" w:rsidR="00D24A4B" w:rsidRPr="00121163" w:rsidRDefault="00D24A4B" w:rsidP="00D24A4B">
      <w:pPr>
        <w:pStyle w:val="BodyText"/>
      </w:pPr>
      <w:r w:rsidRPr="00121163">
        <w:t>The configuration will be installed on-site, at the participating entity location or at a location of their choice, and you only pay for the capacity that is actually used.</w:t>
      </w:r>
    </w:p>
    <w:p w14:paraId="71DCFB6F" w14:textId="77777777" w:rsidR="00D24A4B" w:rsidRDefault="00D24A4B" w:rsidP="00D24A4B">
      <w:pPr>
        <w:pStyle w:val="BodyText"/>
      </w:pPr>
    </w:p>
    <w:p w14:paraId="45A6BFFE" w14:textId="77777777" w:rsidR="00D24A4B" w:rsidRDefault="00D24A4B" w:rsidP="00D24A4B">
      <w:pPr>
        <w:pStyle w:val="FigureCaptionAuto"/>
        <w:ind w:left="432" w:hanging="432"/>
      </w:pPr>
      <w:r w:rsidRPr="00C279DB">
        <w:lastRenderedPageBreak/>
        <w:t xml:space="preserve">Flexible Capacity </w:t>
      </w:r>
      <w:r>
        <w:t>E</w:t>
      </w:r>
      <w:r w:rsidRPr="00C279DB">
        <w:t>nable</w:t>
      </w:r>
      <w:r>
        <w:t>s C</w:t>
      </w:r>
      <w:r w:rsidRPr="00C279DB">
        <w:t xml:space="preserve">apacity </w:t>
      </w:r>
      <w:r>
        <w:t>Ahead of Demand</w:t>
      </w:r>
    </w:p>
    <w:p w14:paraId="2920580E" w14:textId="77777777" w:rsidR="00D24A4B" w:rsidRDefault="00D24A4B" w:rsidP="00D24A4B">
      <w:pPr>
        <w:spacing w:after="120" w:line="240" w:lineRule="auto"/>
        <w:jc w:val="center"/>
        <w:rPr>
          <w:rFonts w:ascii="Arial" w:eastAsia="PMingLiU" w:hAnsi="Arial" w:cs="Times New Roman"/>
          <w:color w:val="000000"/>
          <w:szCs w:val="20"/>
        </w:rPr>
      </w:pPr>
      <w:r>
        <w:rPr>
          <w:rFonts w:ascii="Arial" w:eastAsia="PMingLiU" w:hAnsi="Arial" w:cs="Times New Roman"/>
          <w:noProof/>
          <w:color w:val="000000"/>
          <w:szCs w:val="20"/>
          <w:lang w:val="en-GB" w:eastAsia="en-GB"/>
        </w:rPr>
        <w:drawing>
          <wp:inline distT="0" distB="0" distL="0" distR="0" wp14:anchorId="421301DD" wp14:editId="6E3B59D8">
            <wp:extent cx="4474845" cy="2760578"/>
            <wp:effectExtent l="0" t="0" r="190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89514" cy="2769628"/>
                    </a:xfrm>
                    <a:prstGeom prst="rect">
                      <a:avLst/>
                    </a:prstGeom>
                    <a:noFill/>
                  </pic:spPr>
                </pic:pic>
              </a:graphicData>
            </a:graphic>
          </wp:inline>
        </w:drawing>
      </w:r>
    </w:p>
    <w:p w14:paraId="58DED053" w14:textId="77777777" w:rsidR="00D24A4B" w:rsidRPr="0084491C" w:rsidRDefault="00D24A4B" w:rsidP="00D24A4B">
      <w:pPr>
        <w:spacing w:after="120" w:line="240" w:lineRule="auto"/>
        <w:rPr>
          <w:rFonts w:ascii="Arial" w:eastAsia="PMingLiU" w:hAnsi="Arial" w:cs="Times New Roman"/>
          <w:color w:val="000000"/>
          <w:szCs w:val="20"/>
        </w:rPr>
      </w:pPr>
      <w:r w:rsidRPr="0084491C">
        <w:rPr>
          <w:rFonts w:ascii="Arial" w:eastAsia="PMingLiU" w:hAnsi="Arial" w:cs="Times New Roman"/>
          <w:color w:val="000000"/>
          <w:szCs w:val="20"/>
        </w:rPr>
        <w:t>HPE GreenLake Flex Capacity Packages will provide you with rapid provisioning of services, increased agility, IT responsiveness to business changes, reduced costs, and improved control:</w:t>
      </w:r>
    </w:p>
    <w:p w14:paraId="76EAE5AD" w14:textId="77777777" w:rsidR="00D24A4B" w:rsidRPr="00AA57C8" w:rsidRDefault="00D24A4B" w:rsidP="00486253">
      <w:pPr>
        <w:numPr>
          <w:ilvl w:val="0"/>
          <w:numId w:val="38"/>
        </w:numPr>
        <w:spacing w:after="120" w:line="240" w:lineRule="auto"/>
        <w:rPr>
          <w:rFonts w:ascii="Arial" w:eastAsia="PMingLiU" w:hAnsi="Arial" w:cs="Times New Roman"/>
          <w:color w:val="000000"/>
          <w:szCs w:val="20"/>
        </w:rPr>
      </w:pPr>
      <w:r w:rsidRPr="00AA57C8">
        <w:rPr>
          <w:rFonts w:ascii="Arial" w:eastAsia="PMingLiU" w:hAnsi="Arial" w:cs="Times New Roman"/>
          <w:color w:val="000000"/>
          <w:szCs w:val="20"/>
        </w:rPr>
        <w:t>A comprehensive hybrid IT solution that provides the hardware and HPE technical services tailored for the IT and business use</w:t>
      </w:r>
    </w:p>
    <w:p w14:paraId="2C7A22C6" w14:textId="77777777" w:rsidR="00D24A4B" w:rsidRPr="00AA57C8" w:rsidRDefault="00D24A4B" w:rsidP="00486253">
      <w:pPr>
        <w:numPr>
          <w:ilvl w:val="0"/>
          <w:numId w:val="38"/>
        </w:numPr>
        <w:spacing w:after="120" w:line="240" w:lineRule="auto"/>
        <w:rPr>
          <w:rFonts w:ascii="Arial" w:eastAsia="PMingLiU" w:hAnsi="Arial" w:cs="Times New Roman"/>
          <w:color w:val="000000"/>
          <w:szCs w:val="20"/>
        </w:rPr>
      </w:pPr>
      <w:r w:rsidRPr="00AA57C8">
        <w:rPr>
          <w:rFonts w:ascii="Arial" w:eastAsia="PMingLiU" w:hAnsi="Arial" w:cs="Times New Roman"/>
          <w:color w:val="000000"/>
          <w:szCs w:val="20"/>
        </w:rPr>
        <w:t>Maintain control of services and eliminate sprawl</w:t>
      </w:r>
    </w:p>
    <w:p w14:paraId="6494C265" w14:textId="77777777" w:rsidR="00D24A4B" w:rsidRPr="00AA57C8" w:rsidRDefault="00D24A4B" w:rsidP="00486253">
      <w:pPr>
        <w:numPr>
          <w:ilvl w:val="0"/>
          <w:numId w:val="38"/>
        </w:numPr>
        <w:spacing w:after="120" w:line="240" w:lineRule="auto"/>
        <w:rPr>
          <w:rFonts w:ascii="Arial" w:eastAsia="PMingLiU" w:hAnsi="Arial" w:cs="Times New Roman"/>
          <w:color w:val="000000"/>
          <w:szCs w:val="20"/>
        </w:rPr>
      </w:pPr>
      <w:r w:rsidRPr="00AA57C8">
        <w:rPr>
          <w:rFonts w:ascii="Arial" w:eastAsia="PMingLiU" w:hAnsi="Arial" w:cs="Times New Roman"/>
          <w:color w:val="000000"/>
          <w:szCs w:val="20"/>
        </w:rPr>
        <w:t>Reduce the complexity of services by automatically managing and provisioning new and existing services from a single portal</w:t>
      </w:r>
    </w:p>
    <w:p w14:paraId="39F28CEF" w14:textId="77777777" w:rsidR="00D24A4B" w:rsidRPr="00AA57C8" w:rsidRDefault="00D24A4B" w:rsidP="00486253">
      <w:pPr>
        <w:numPr>
          <w:ilvl w:val="0"/>
          <w:numId w:val="38"/>
        </w:numPr>
        <w:spacing w:after="120" w:line="240" w:lineRule="auto"/>
        <w:rPr>
          <w:rFonts w:ascii="Arial" w:eastAsia="PMingLiU" w:hAnsi="Arial" w:cs="Times New Roman"/>
          <w:color w:val="000000"/>
          <w:szCs w:val="20"/>
        </w:rPr>
      </w:pPr>
      <w:r w:rsidRPr="00AA57C8">
        <w:rPr>
          <w:rFonts w:ascii="Arial" w:eastAsia="PMingLiU" w:hAnsi="Arial" w:cs="Times New Roman"/>
          <w:color w:val="000000"/>
          <w:szCs w:val="20"/>
        </w:rPr>
        <w:t>Control and monitor infrastructure utilization</w:t>
      </w:r>
    </w:p>
    <w:p w14:paraId="29158A69" w14:textId="77777777" w:rsidR="00D24A4B" w:rsidRPr="00AA57C8" w:rsidRDefault="00D24A4B" w:rsidP="00486253">
      <w:pPr>
        <w:numPr>
          <w:ilvl w:val="0"/>
          <w:numId w:val="38"/>
        </w:numPr>
        <w:spacing w:after="120" w:line="240" w:lineRule="auto"/>
        <w:rPr>
          <w:rFonts w:ascii="Arial" w:eastAsia="PMingLiU" w:hAnsi="Arial" w:cs="Times New Roman"/>
          <w:color w:val="000000"/>
          <w:szCs w:val="20"/>
        </w:rPr>
      </w:pPr>
      <w:r w:rsidRPr="00AA57C8">
        <w:rPr>
          <w:rFonts w:ascii="Arial" w:eastAsia="PMingLiU" w:hAnsi="Arial" w:cs="Times New Roman"/>
          <w:color w:val="000000"/>
          <w:szCs w:val="20"/>
        </w:rPr>
        <w:t>Better visibility and predictability of IT costs; transparent costs, based on actual use</w:t>
      </w:r>
    </w:p>
    <w:p w14:paraId="3A6BB2F7" w14:textId="77777777" w:rsidR="00D24A4B" w:rsidRPr="00AA57C8" w:rsidRDefault="00D24A4B" w:rsidP="00486253">
      <w:pPr>
        <w:numPr>
          <w:ilvl w:val="0"/>
          <w:numId w:val="38"/>
        </w:numPr>
        <w:spacing w:after="120" w:line="240" w:lineRule="auto"/>
        <w:rPr>
          <w:rFonts w:ascii="Arial" w:eastAsia="PMingLiU" w:hAnsi="Arial" w:cs="Times New Roman"/>
          <w:color w:val="000000"/>
          <w:szCs w:val="20"/>
        </w:rPr>
      </w:pPr>
      <w:r w:rsidRPr="00AA57C8">
        <w:rPr>
          <w:rFonts w:ascii="Arial" w:eastAsia="PMingLiU" w:hAnsi="Arial" w:cs="Times New Roman"/>
          <w:color w:val="000000"/>
          <w:szCs w:val="20"/>
        </w:rPr>
        <w:t>More flexible deployment of required capacity and usage reporting</w:t>
      </w:r>
    </w:p>
    <w:p w14:paraId="50BD78E2" w14:textId="77777777" w:rsidR="00D24A4B" w:rsidRPr="00AA57C8" w:rsidRDefault="00D24A4B" w:rsidP="00486253">
      <w:pPr>
        <w:numPr>
          <w:ilvl w:val="0"/>
          <w:numId w:val="38"/>
        </w:numPr>
        <w:spacing w:after="120" w:line="240" w:lineRule="auto"/>
        <w:rPr>
          <w:rFonts w:ascii="Arial" w:eastAsia="PMingLiU" w:hAnsi="Arial" w:cs="Times New Roman"/>
          <w:color w:val="000000"/>
          <w:szCs w:val="20"/>
        </w:rPr>
      </w:pPr>
      <w:r w:rsidRPr="00AA57C8">
        <w:rPr>
          <w:rFonts w:ascii="Arial" w:eastAsia="PMingLiU" w:hAnsi="Arial" w:cs="Times New Roman"/>
          <w:color w:val="000000"/>
          <w:szCs w:val="20"/>
        </w:rPr>
        <w:t xml:space="preserve">A single point of contact for </w:t>
      </w:r>
      <w:r>
        <w:rPr>
          <w:rFonts w:ascii="Arial" w:eastAsia="PMingLiU" w:hAnsi="Arial" w:cs="Times New Roman"/>
          <w:color w:val="000000"/>
          <w:szCs w:val="20"/>
        </w:rPr>
        <w:t xml:space="preserve">HPE </w:t>
      </w:r>
      <w:r w:rsidRPr="00AA57C8">
        <w:rPr>
          <w:rFonts w:ascii="Arial" w:eastAsia="PMingLiU" w:hAnsi="Arial" w:cs="Times New Roman"/>
          <w:color w:val="000000"/>
          <w:szCs w:val="20"/>
        </w:rPr>
        <w:t>GreenLake Flex Capacity Package components</w:t>
      </w:r>
    </w:p>
    <w:p w14:paraId="0FD35710" w14:textId="77777777" w:rsidR="00D24A4B" w:rsidRPr="00AA57C8" w:rsidRDefault="00D24A4B" w:rsidP="00486253">
      <w:pPr>
        <w:numPr>
          <w:ilvl w:val="0"/>
          <w:numId w:val="38"/>
        </w:numPr>
        <w:spacing w:after="120" w:line="240" w:lineRule="auto"/>
        <w:rPr>
          <w:rFonts w:ascii="Arial" w:eastAsia="PMingLiU" w:hAnsi="Arial" w:cs="Times New Roman"/>
          <w:color w:val="000000"/>
          <w:szCs w:val="20"/>
        </w:rPr>
      </w:pPr>
      <w:r w:rsidRPr="00AA57C8">
        <w:rPr>
          <w:rFonts w:ascii="Arial" w:eastAsia="PMingLiU" w:hAnsi="Arial" w:cs="Times New Roman"/>
          <w:color w:val="000000"/>
          <w:szCs w:val="20"/>
        </w:rPr>
        <w:t>Planning and forecasting sessions help consistently align business objectives and required technology and capacity</w:t>
      </w:r>
    </w:p>
    <w:p w14:paraId="39BFB5F0" w14:textId="77777777" w:rsidR="00D24A4B" w:rsidRDefault="00D24A4B" w:rsidP="00486253">
      <w:pPr>
        <w:numPr>
          <w:ilvl w:val="0"/>
          <w:numId w:val="38"/>
        </w:numPr>
        <w:spacing w:after="120" w:line="240" w:lineRule="auto"/>
        <w:rPr>
          <w:rFonts w:ascii="Arial" w:eastAsia="PMingLiU" w:hAnsi="Arial" w:cs="Times New Roman"/>
          <w:color w:val="000000"/>
          <w:szCs w:val="20"/>
        </w:rPr>
      </w:pPr>
      <w:r w:rsidRPr="00AA57C8">
        <w:rPr>
          <w:rFonts w:ascii="Arial" w:eastAsia="PMingLiU" w:hAnsi="Arial" w:cs="Times New Roman"/>
          <w:color w:val="000000"/>
          <w:szCs w:val="20"/>
        </w:rPr>
        <w:t>Less downtime, thanks to integrated installation and deployment and HPE Datacenter Care Services</w:t>
      </w:r>
    </w:p>
    <w:p w14:paraId="0AB389B7" w14:textId="77777777" w:rsidR="00D24A4B" w:rsidRDefault="00D24A4B" w:rsidP="00D24A4B">
      <w:pPr>
        <w:spacing w:after="120" w:line="240" w:lineRule="auto"/>
        <w:ind w:left="720"/>
        <w:rPr>
          <w:rFonts w:ascii="Arial" w:eastAsia="PMingLiU" w:hAnsi="Arial" w:cs="Times New Roman"/>
          <w:color w:val="000000"/>
          <w:szCs w:val="20"/>
        </w:rPr>
      </w:pPr>
    </w:p>
    <w:p w14:paraId="24B6D692" w14:textId="77777777" w:rsidR="00D24A4B" w:rsidRPr="00AA57C8" w:rsidRDefault="00D24A4B" w:rsidP="00D24A4B">
      <w:pPr>
        <w:spacing w:after="120" w:line="240" w:lineRule="auto"/>
        <w:ind w:left="720"/>
        <w:rPr>
          <w:rFonts w:ascii="Arial" w:eastAsia="PMingLiU" w:hAnsi="Arial" w:cs="Times New Roman"/>
          <w:color w:val="000000"/>
          <w:szCs w:val="20"/>
        </w:rPr>
      </w:pPr>
    </w:p>
    <w:p w14:paraId="15527582" w14:textId="77777777" w:rsidR="00D24A4B" w:rsidRDefault="00D24A4B" w:rsidP="00D24A4B">
      <w:pPr>
        <w:pStyle w:val="BodyText"/>
        <w:jc w:val="center"/>
        <w:rPr>
          <w:noProof/>
          <w:lang w:val="en-GB" w:eastAsia="en-GB"/>
        </w:rPr>
      </w:pPr>
    </w:p>
    <w:p w14:paraId="1772C73C" w14:textId="77777777" w:rsidR="00D24A4B" w:rsidRDefault="00D24A4B" w:rsidP="00D24A4B">
      <w:pPr>
        <w:pStyle w:val="FigureCaptionAuto"/>
        <w:ind w:left="432" w:hanging="432"/>
        <w:rPr>
          <w:noProof/>
          <w:lang w:val="en-GB" w:eastAsia="en-GB"/>
        </w:rPr>
      </w:pPr>
      <w:r>
        <w:rPr>
          <w:noProof/>
          <w:lang w:val="en-GB" w:eastAsia="en-GB"/>
        </w:rPr>
        <w:lastRenderedPageBreak/>
        <w:t>HPE GreenLake Flex Capacity Packages</w:t>
      </w:r>
    </w:p>
    <w:p w14:paraId="2951F575" w14:textId="77777777" w:rsidR="00D24A4B" w:rsidRDefault="00D24A4B" w:rsidP="00D24A4B">
      <w:pPr>
        <w:pStyle w:val="BodyText"/>
        <w:jc w:val="center"/>
      </w:pPr>
      <w:r>
        <w:rPr>
          <w:noProof/>
          <w:lang w:val="en-GB" w:eastAsia="en-GB"/>
        </w:rPr>
        <w:drawing>
          <wp:inline distT="0" distB="0" distL="0" distR="0" wp14:anchorId="75F29625" wp14:editId="7677122F">
            <wp:extent cx="5314323" cy="1610204"/>
            <wp:effectExtent l="0" t="0" r="63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45762" cy="1619730"/>
                    </a:xfrm>
                    <a:prstGeom prst="rect">
                      <a:avLst/>
                    </a:prstGeom>
                    <a:noFill/>
                  </pic:spPr>
                </pic:pic>
              </a:graphicData>
            </a:graphic>
          </wp:inline>
        </w:drawing>
      </w:r>
    </w:p>
    <w:p w14:paraId="484246DF" w14:textId="77777777" w:rsidR="00D24A4B" w:rsidRDefault="00D24A4B" w:rsidP="00D24A4B">
      <w:pPr>
        <w:pStyle w:val="BodyText"/>
      </w:pPr>
      <w:r w:rsidRPr="00A079EC">
        <w:t xml:space="preserve">Building on the leadership and success of consuming infrastructure with </w:t>
      </w:r>
      <w:r w:rsidRPr="009016D3">
        <w:t xml:space="preserve">HPE GreenLake Flex Capacity, HPE now has a suite of complete solutions </w:t>
      </w:r>
      <w:r>
        <w:t xml:space="preserve">packages </w:t>
      </w:r>
      <w:r w:rsidRPr="009016D3">
        <w:t xml:space="preserve">designed, implemented, and operated for </w:t>
      </w:r>
      <w:r>
        <w:t xml:space="preserve">you by HPE Pointnext. </w:t>
      </w:r>
      <w:r w:rsidRPr="00AB103A">
        <w:t>Enjoy the simplicity, security, and control of elastic IT with financial flexibility – on-premises and on your terms. This service prepares you for growth and gives you the agility to get applications to market right away—in minutes—without waiting months to expand your IT infrastructure, all while using “pay as you go” billing.</w:t>
      </w:r>
    </w:p>
    <w:p w14:paraId="31A5A9C9" w14:textId="77777777" w:rsidR="00D24A4B" w:rsidRDefault="00D24A4B" w:rsidP="00D24A4B">
      <w:pPr>
        <w:pStyle w:val="Heading20"/>
      </w:pPr>
      <w:bookmarkStart w:id="5" w:name="_Toc518548578"/>
      <w:r w:rsidRPr="00AB103A">
        <w:t>HPE GreenLake Flex Capacity Packages</w:t>
      </w:r>
      <w:r>
        <w:t>:</w:t>
      </w:r>
      <w:bookmarkEnd w:id="5"/>
    </w:p>
    <w:p w14:paraId="3B6F5684" w14:textId="77777777" w:rsidR="00D24A4B" w:rsidRPr="00DB11B2" w:rsidRDefault="00D24A4B" w:rsidP="00D24A4B">
      <w:pPr>
        <w:pStyle w:val="Heading30"/>
        <w:rPr>
          <w:b w:val="0"/>
        </w:rPr>
      </w:pPr>
      <w:bookmarkStart w:id="6" w:name="_Toc518548579"/>
      <w:r w:rsidRPr="00DB11B2">
        <w:t xml:space="preserve">HPE GreenLake Flex Capacity ProLiant for Azure Stack Hybrid Cloud </w:t>
      </w:r>
      <w:r>
        <w:t>package</w:t>
      </w:r>
      <w:bookmarkEnd w:id="6"/>
    </w:p>
    <w:p w14:paraId="3956DF45" w14:textId="77777777" w:rsidR="00D24A4B" w:rsidRPr="00AB103A" w:rsidRDefault="00D24A4B" w:rsidP="00D24A4B">
      <w:pPr>
        <w:spacing w:after="120" w:line="240" w:lineRule="auto"/>
        <w:rPr>
          <w:rFonts w:ascii="Arial" w:eastAsia="PMingLiU" w:hAnsi="Arial" w:cs="Times New Roman"/>
          <w:color w:val="000000"/>
          <w:szCs w:val="20"/>
        </w:rPr>
      </w:pPr>
      <w:r w:rsidRPr="00AB103A">
        <w:rPr>
          <w:rFonts w:ascii="Arial" w:eastAsia="PMingLiU" w:hAnsi="Arial" w:cs="Times New Roman"/>
          <w:color w:val="000000"/>
          <w:szCs w:val="20"/>
        </w:rPr>
        <w:t xml:space="preserve">HPE is proposing a comprehensive solution based </w:t>
      </w:r>
      <w:r>
        <w:rPr>
          <w:rFonts w:ascii="Arial" w:eastAsia="PMingLiU" w:hAnsi="Arial" w:cs="Times New Roman"/>
          <w:color w:val="000000"/>
          <w:szCs w:val="20"/>
        </w:rPr>
        <w:t>on</w:t>
      </w:r>
      <w:r w:rsidRPr="00AB103A">
        <w:rPr>
          <w:rFonts w:ascii="Arial" w:eastAsia="PMingLiU" w:hAnsi="Arial" w:cs="Times New Roman"/>
          <w:color w:val="000000"/>
          <w:szCs w:val="20"/>
        </w:rPr>
        <w:t xml:space="preserve"> HPE GreenLake Flex Capacity</w:t>
      </w:r>
      <w:r>
        <w:rPr>
          <w:rFonts w:ascii="Arial" w:eastAsia="PMingLiU" w:hAnsi="Arial" w:cs="Times New Roman"/>
          <w:color w:val="000000"/>
          <w:szCs w:val="20"/>
        </w:rPr>
        <w:t xml:space="preserve">’s </w:t>
      </w:r>
      <w:r w:rsidRPr="00AB103A">
        <w:rPr>
          <w:rFonts w:ascii="Arial" w:eastAsia="PMingLiU" w:hAnsi="Arial" w:cs="Times New Roman"/>
          <w:color w:val="000000"/>
          <w:szCs w:val="20"/>
        </w:rPr>
        <w:t xml:space="preserve">“ProLiant </w:t>
      </w:r>
      <w:r>
        <w:rPr>
          <w:rFonts w:ascii="Arial" w:eastAsia="PMingLiU" w:hAnsi="Arial" w:cs="Times New Roman"/>
          <w:color w:val="000000"/>
          <w:szCs w:val="20"/>
        </w:rPr>
        <w:t xml:space="preserve">for </w:t>
      </w:r>
      <w:r w:rsidRPr="00AB103A">
        <w:rPr>
          <w:rFonts w:ascii="Arial" w:eastAsia="PMingLiU" w:hAnsi="Arial" w:cs="Times New Roman"/>
          <w:color w:val="000000"/>
          <w:szCs w:val="20"/>
        </w:rPr>
        <w:t xml:space="preserve">Microsoft Azure Stack” </w:t>
      </w:r>
      <w:r>
        <w:rPr>
          <w:rFonts w:ascii="Arial" w:eastAsia="PMingLiU" w:hAnsi="Arial" w:cs="Times New Roman"/>
          <w:color w:val="000000"/>
          <w:szCs w:val="20"/>
        </w:rPr>
        <w:t xml:space="preserve">package which will </w:t>
      </w:r>
      <w:r w:rsidRPr="00AB103A">
        <w:rPr>
          <w:rFonts w:ascii="Arial" w:eastAsia="PMingLiU" w:hAnsi="Arial" w:cs="Times New Roman"/>
          <w:color w:val="000000"/>
          <w:szCs w:val="20"/>
        </w:rPr>
        <w:t xml:space="preserve">lower cost, </w:t>
      </w:r>
      <w:r>
        <w:rPr>
          <w:rFonts w:ascii="Arial" w:eastAsia="PMingLiU" w:hAnsi="Arial" w:cs="Times New Roman"/>
          <w:color w:val="000000"/>
          <w:szCs w:val="20"/>
        </w:rPr>
        <w:t xml:space="preserve">allow </w:t>
      </w:r>
      <w:r w:rsidRPr="00AB103A">
        <w:rPr>
          <w:rFonts w:ascii="Arial" w:eastAsia="PMingLiU" w:hAnsi="Arial" w:cs="Times New Roman"/>
          <w:color w:val="000000"/>
          <w:szCs w:val="20"/>
        </w:rPr>
        <w:t xml:space="preserve">elastic capacity </w:t>
      </w:r>
      <w:r>
        <w:rPr>
          <w:rFonts w:ascii="Arial" w:eastAsia="PMingLiU" w:hAnsi="Arial" w:cs="Times New Roman"/>
          <w:color w:val="000000"/>
          <w:szCs w:val="20"/>
        </w:rPr>
        <w:t xml:space="preserve">and </w:t>
      </w:r>
      <w:r w:rsidRPr="00AB103A">
        <w:rPr>
          <w:rFonts w:ascii="Arial" w:eastAsia="PMingLiU" w:hAnsi="Arial" w:cs="Times New Roman"/>
          <w:color w:val="000000"/>
          <w:szCs w:val="20"/>
        </w:rPr>
        <w:t xml:space="preserve">enterprise support for Hybrid IT </w:t>
      </w:r>
      <w:r>
        <w:rPr>
          <w:rFonts w:ascii="Arial" w:eastAsia="PMingLiU" w:hAnsi="Arial" w:cs="Times New Roman"/>
          <w:color w:val="000000"/>
          <w:szCs w:val="20"/>
        </w:rPr>
        <w:t>delivering</w:t>
      </w:r>
      <w:r w:rsidRPr="00AB103A">
        <w:rPr>
          <w:rFonts w:ascii="Arial" w:eastAsia="PMingLiU" w:hAnsi="Arial" w:cs="Times New Roman"/>
          <w:color w:val="000000"/>
          <w:szCs w:val="20"/>
        </w:rPr>
        <w:t xml:space="preserve"> a public cloud experience with the benefits of on premise private cloud. This robust hybrid cloud solution is co-engineered by HPE and Microsoft to enable the easy movement and deployment of applications to meet security, compliance, cost and performance needs. It allows </w:t>
      </w:r>
      <w:r>
        <w:rPr>
          <w:rFonts w:ascii="Arial" w:eastAsia="PMingLiU" w:hAnsi="Arial" w:cs="Times New Roman"/>
          <w:color w:val="000000"/>
          <w:szCs w:val="20"/>
        </w:rPr>
        <w:t>the Customer</w:t>
      </w:r>
      <w:r w:rsidRPr="00AB103A">
        <w:rPr>
          <w:rFonts w:ascii="Arial" w:eastAsia="PMingLiU" w:hAnsi="Arial" w:cs="Times New Roman"/>
          <w:color w:val="000000"/>
          <w:szCs w:val="20"/>
        </w:rPr>
        <w:t xml:space="preserve"> to maintain data sovereignty; run high performance analytics, Big Data, and low latency applications; support edge and disconnected applications; and deploy applications to either Azure public or on premise private cloud.</w:t>
      </w:r>
      <w:r>
        <w:rPr>
          <w:rFonts w:ascii="Arial" w:eastAsia="PMingLiU" w:hAnsi="Arial" w:cs="Times New Roman"/>
          <w:color w:val="000000"/>
          <w:szCs w:val="20"/>
        </w:rPr>
        <w:t xml:space="preserve"> </w:t>
      </w:r>
    </w:p>
    <w:p w14:paraId="54C02153" w14:textId="77777777" w:rsidR="00D24A4B" w:rsidRPr="00143AB4" w:rsidRDefault="00D24A4B" w:rsidP="00D24A4B">
      <w:pPr>
        <w:pStyle w:val="BodyText"/>
      </w:pPr>
      <w:r w:rsidRPr="00143AB4">
        <w:t xml:space="preserve">HPE has developed the GreenLake ProLiant for Microsoft Azure Stack package to deliver a hybrid cloud solution that will let </w:t>
      </w:r>
      <w:r>
        <w:t xml:space="preserve">the Purchasing Entity transform its on </w:t>
      </w:r>
      <w:r w:rsidRPr="00143AB4">
        <w:t>premises datacenter to deliver Azure public cloud services. Azure Stack is designed to enable new scenarios for modern applications like edge and disconnected environments, or for meeting specific security and compliance requirements. The hybrid cloud solution is co-engineered by HPE and Microsoft to enable the easy movement and deployment of applications to meet security, compliance, cost and performance requirements. HPE offers ProLiant for Microsoft Azure Stack as an integrated system of hardware and software, delivering the right amount of flexibility and control, while still adopting innovation from the cloud.</w:t>
      </w:r>
    </w:p>
    <w:p w14:paraId="69CB3D06" w14:textId="77777777" w:rsidR="00D24A4B" w:rsidRPr="00143AB4" w:rsidRDefault="00D24A4B" w:rsidP="00D24A4B">
      <w:pPr>
        <w:pStyle w:val="BodyText"/>
      </w:pPr>
      <w:r w:rsidRPr="00143AB4">
        <w:t>The HPE GreenLake ProLiant for Microsoft Azure Stack makes the acquisition and implementation of this Hybrid Cloud solution even simpler. Using the ProLiant for Microsoft Azure Stack in our HPE GreenLake package delivers consumption-based economics and scalability within the boundaries of Microsoft Azure Stack. HPE GreenLake Flex Capacity Package provides active capacity management, variable monthly payments based on metered usage, and services to make Hybrid IT simpler - providing a new and better way of acquiring and consuming a Microsoft Azure Stack solution.</w:t>
      </w:r>
    </w:p>
    <w:p w14:paraId="34F10126" w14:textId="77777777" w:rsidR="00D24A4B" w:rsidRPr="00143AB4" w:rsidRDefault="00D24A4B" w:rsidP="00D24A4B">
      <w:pPr>
        <w:pStyle w:val="BodyText"/>
      </w:pPr>
      <w:r w:rsidRPr="00143AB4">
        <w:lastRenderedPageBreak/>
        <w:t>Using HPE GreenLake ProLiant for Microsoft Azure Stack, you can have:</w:t>
      </w:r>
    </w:p>
    <w:p w14:paraId="1CC5CCD9" w14:textId="77777777" w:rsidR="00D24A4B" w:rsidRPr="00143AB4" w:rsidRDefault="00D24A4B" w:rsidP="00D24A4B">
      <w:pPr>
        <w:pStyle w:val="Bullet1Double"/>
        <w:numPr>
          <w:ilvl w:val="0"/>
          <w:numId w:val="9"/>
        </w:numPr>
        <w:tabs>
          <w:tab w:val="clear" w:pos="0"/>
        </w:tabs>
        <w:ind w:left="360" w:hanging="360"/>
      </w:pPr>
      <w:r w:rsidRPr="00143AB4">
        <w:t xml:space="preserve">Pay per use for Hybrid IT – the cost for your IT usage is based on actual metered consumption of Azure Stack on-premises or in Microsoft Azure public </w:t>
      </w:r>
      <w:r>
        <w:t xml:space="preserve">or government </w:t>
      </w:r>
      <w:r w:rsidRPr="00143AB4">
        <w:t>cloud.</w:t>
      </w:r>
    </w:p>
    <w:p w14:paraId="6B506397" w14:textId="77777777" w:rsidR="00D24A4B" w:rsidRPr="00143AB4" w:rsidRDefault="00D24A4B" w:rsidP="00D24A4B">
      <w:pPr>
        <w:pStyle w:val="Bullet1Double"/>
        <w:numPr>
          <w:ilvl w:val="0"/>
          <w:numId w:val="9"/>
        </w:numPr>
        <w:tabs>
          <w:tab w:val="clear" w:pos="0"/>
        </w:tabs>
        <w:ind w:left="360" w:hanging="360"/>
      </w:pPr>
      <w:r w:rsidRPr="00143AB4">
        <w:t>A single contract and a single monthly invoice that combines the usage from on- premises IT infrastructure resources installed in your data center</w:t>
      </w:r>
    </w:p>
    <w:p w14:paraId="060991FE" w14:textId="77777777" w:rsidR="00D24A4B" w:rsidRPr="00143AB4" w:rsidRDefault="00D24A4B" w:rsidP="00D24A4B">
      <w:pPr>
        <w:pStyle w:val="Bullet1Double"/>
        <w:numPr>
          <w:ilvl w:val="0"/>
          <w:numId w:val="9"/>
        </w:numPr>
        <w:tabs>
          <w:tab w:val="clear" w:pos="0"/>
        </w:tabs>
        <w:ind w:left="360" w:hanging="360"/>
      </w:pPr>
      <w:r w:rsidRPr="00143AB4">
        <w:t xml:space="preserve">Choose HPE as your Cloud Solution Provider and procure Azure public </w:t>
      </w:r>
      <w:r>
        <w:t xml:space="preserve">or government </w:t>
      </w:r>
      <w:r w:rsidRPr="00143AB4">
        <w:t>cloud and Azure Stack services from HPE and get a single monthly invoice that combines the usage from resources in your data center and in Microsoft Azure public cloud</w:t>
      </w:r>
    </w:p>
    <w:p w14:paraId="383273BF" w14:textId="77777777" w:rsidR="00D24A4B" w:rsidRPr="00143AB4" w:rsidRDefault="00D24A4B" w:rsidP="00D24A4B">
      <w:pPr>
        <w:pStyle w:val="Bullet1Double"/>
        <w:numPr>
          <w:ilvl w:val="0"/>
          <w:numId w:val="9"/>
        </w:numPr>
        <w:tabs>
          <w:tab w:val="clear" w:pos="0"/>
        </w:tabs>
        <w:ind w:left="360" w:hanging="360"/>
      </w:pPr>
      <w:r w:rsidRPr="00143AB4">
        <w:t>A single usage portal and reporting of the services you use and the capacity you consume so that you can understand usage and plan for the future</w:t>
      </w:r>
    </w:p>
    <w:p w14:paraId="028F4241" w14:textId="77777777" w:rsidR="00D24A4B" w:rsidRPr="00143AB4" w:rsidRDefault="00D24A4B" w:rsidP="00D24A4B">
      <w:pPr>
        <w:pStyle w:val="Bullet1Double"/>
        <w:numPr>
          <w:ilvl w:val="0"/>
          <w:numId w:val="9"/>
        </w:numPr>
        <w:tabs>
          <w:tab w:val="clear" w:pos="0"/>
        </w:tabs>
        <w:ind w:left="360" w:hanging="360"/>
      </w:pPr>
      <w:r w:rsidRPr="00143AB4">
        <w:t>A single enterprise-grade support experience with HPE Datacenter Care; HPE Datacenter Care is the basis for GreenLake Flex Capacity, providing support and guidance for your IT environment. With HPE as your CSP, we extend this support to include Microsoft Azure, with one accountable partner.</w:t>
      </w:r>
    </w:p>
    <w:p w14:paraId="4CED5F40" w14:textId="77777777" w:rsidR="00D24A4B" w:rsidRDefault="00D24A4B" w:rsidP="00D24A4B">
      <w:pPr>
        <w:pStyle w:val="Bullet1Double"/>
        <w:numPr>
          <w:ilvl w:val="0"/>
          <w:numId w:val="9"/>
        </w:numPr>
        <w:tabs>
          <w:tab w:val="clear" w:pos="0"/>
        </w:tabs>
        <w:ind w:left="360" w:hanging="360"/>
      </w:pPr>
      <w:r w:rsidRPr="00143AB4">
        <w:t>Predictable price per month as consumption increases</w:t>
      </w:r>
    </w:p>
    <w:p w14:paraId="496BF776" w14:textId="77777777" w:rsidR="00D24A4B" w:rsidRDefault="00D24A4B" w:rsidP="00D24A4B">
      <w:pPr>
        <w:pStyle w:val="FigureCaptionAuto"/>
        <w:ind w:left="432" w:hanging="432"/>
      </w:pPr>
      <w:r w:rsidRPr="00E549BB">
        <w:t>Lower cost, elastic capacity, enterprise support for Hybrid IT</w:t>
      </w:r>
    </w:p>
    <w:p w14:paraId="4E015936" w14:textId="77777777" w:rsidR="00D24A4B" w:rsidRDefault="00D24A4B" w:rsidP="00D24A4B">
      <w:pPr>
        <w:pStyle w:val="BodyText"/>
        <w:jc w:val="center"/>
      </w:pPr>
      <w:r>
        <w:rPr>
          <w:noProof/>
          <w:lang w:val="en-GB" w:eastAsia="en-GB"/>
        </w:rPr>
        <w:drawing>
          <wp:inline distT="0" distB="0" distL="0" distR="0" wp14:anchorId="510181F2" wp14:editId="41E2F7E8">
            <wp:extent cx="4517390" cy="334073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17390" cy="3340735"/>
                    </a:xfrm>
                    <a:prstGeom prst="rect">
                      <a:avLst/>
                    </a:prstGeom>
                    <a:noFill/>
                  </pic:spPr>
                </pic:pic>
              </a:graphicData>
            </a:graphic>
          </wp:inline>
        </w:drawing>
      </w:r>
    </w:p>
    <w:p w14:paraId="24C84350" w14:textId="77777777" w:rsidR="00D24A4B" w:rsidRDefault="00D24A4B" w:rsidP="00D24A4B">
      <w:pPr>
        <w:pStyle w:val="BodyText"/>
      </w:pPr>
    </w:p>
    <w:p w14:paraId="31CB0D9C" w14:textId="77777777" w:rsidR="00D24A4B" w:rsidRPr="00143AB4" w:rsidRDefault="00D24A4B" w:rsidP="00D24A4B">
      <w:pPr>
        <w:pStyle w:val="BodyText"/>
      </w:pPr>
      <w:r>
        <w:t xml:space="preserve">Each </w:t>
      </w:r>
      <w:r w:rsidRPr="00143AB4">
        <w:t xml:space="preserve">Purchasing Entity can easily build </w:t>
      </w:r>
      <w:r>
        <w:t>its</w:t>
      </w:r>
      <w:r w:rsidRPr="00143AB4">
        <w:t xml:space="preserve"> own on</w:t>
      </w:r>
      <w:r>
        <w:t xml:space="preserve"> </w:t>
      </w:r>
      <w:r w:rsidRPr="00143AB4">
        <w:t xml:space="preserve">premise private cloud services—which provides more agility to take advantage of applications designed and built for the cloud. HPE constantly monitors utilization of the on premise infrastructure and adds additional buffer capacity well in-advance of need. All infrastructure is serviced under the watchful eye of HPE’s award-winning Datacenter Care enhanced service and includes an assigned Account Service Manager, ensuring the infrastructures remains stable to meet high availability requirements. Billing is calculated based on actual monthly usage. Within plan </w:t>
      </w:r>
      <w:r w:rsidRPr="00143AB4">
        <w:lastRenderedPageBreak/>
        <w:t xml:space="preserve">limits, your bill can be higher or lower than previous periods, based on the amount of infrastructure you actually use with no upfront costs. </w:t>
      </w:r>
    </w:p>
    <w:p w14:paraId="55D5E054" w14:textId="77777777" w:rsidR="00D24A4B" w:rsidRDefault="00D24A4B" w:rsidP="00D24A4B">
      <w:pPr>
        <w:pStyle w:val="BodyText"/>
      </w:pPr>
      <w:r w:rsidRPr="00143AB4">
        <w:t>Purchasing Entity can quickly provision and scale services with the same self-service experience as Azure. For example, Microsoft Azure Stack accelerates DevOps by providing a rich Azure ecosystem of resources. Application developers can maximize their productivity using a “write once, deploy to Azure or Azure Stack” approach. Using APIs that are identical to Microsoft Azure, you can create applications based on your choice of open source or</w:t>
      </w:r>
      <w:r>
        <w:t>.</w:t>
      </w:r>
      <w:r w:rsidRPr="00143AB4">
        <w:t>NET technology.</w:t>
      </w:r>
    </w:p>
    <w:p w14:paraId="090BDB5F" w14:textId="77777777" w:rsidR="00D24A4B" w:rsidRPr="00143AB4" w:rsidRDefault="00D24A4B" w:rsidP="00D24A4B">
      <w:pPr>
        <w:pStyle w:val="FigureCaptionAuto"/>
        <w:ind w:left="432" w:hanging="432"/>
      </w:pPr>
      <w:r>
        <w:t>The Most Configurable Solution Available</w:t>
      </w:r>
    </w:p>
    <w:p w14:paraId="26EB91B9" w14:textId="77777777" w:rsidR="00D24A4B" w:rsidRPr="00143AB4" w:rsidRDefault="00D24A4B" w:rsidP="00D24A4B">
      <w:pPr>
        <w:spacing w:after="0" w:line="240" w:lineRule="auto"/>
        <w:rPr>
          <w:rFonts w:ascii="Arial" w:eastAsia="PMingLiU" w:hAnsi="Arial" w:cs="Times New Roman"/>
          <w:color w:val="000000"/>
          <w:szCs w:val="20"/>
        </w:rPr>
      </w:pPr>
      <w:r w:rsidRPr="00143AB4">
        <w:rPr>
          <w:rFonts w:ascii="Arial" w:eastAsia="PMingLiU" w:hAnsi="Arial" w:cs="Times New Roman"/>
          <w:noProof/>
          <w:color w:val="000000"/>
          <w:szCs w:val="20"/>
          <w:lang w:val="en-GB" w:eastAsia="en-GB"/>
        </w:rPr>
        <mc:AlternateContent>
          <mc:Choice Requires="wps">
            <w:drawing>
              <wp:anchor distT="0" distB="0" distL="114300" distR="114300" simplePos="0" relativeHeight="251659264" behindDoc="0" locked="0" layoutInCell="1" allowOverlap="1" wp14:anchorId="3B4D54B3" wp14:editId="20B73391">
                <wp:simplePos x="0" y="0"/>
                <wp:positionH relativeFrom="column">
                  <wp:posOffset>3356610</wp:posOffset>
                </wp:positionH>
                <wp:positionV relativeFrom="paragraph">
                  <wp:posOffset>1045845</wp:posOffset>
                </wp:positionV>
                <wp:extent cx="2028825" cy="738505"/>
                <wp:effectExtent l="0" t="0" r="0" b="0"/>
                <wp:wrapNone/>
                <wp:docPr id="12" name="Rectangle 20"/>
                <wp:cNvGraphicFramePr/>
                <a:graphic xmlns:a="http://schemas.openxmlformats.org/drawingml/2006/main">
                  <a:graphicData uri="http://schemas.microsoft.com/office/word/2010/wordprocessingShape">
                    <wps:wsp>
                      <wps:cNvSpPr/>
                      <wps:spPr>
                        <a:xfrm>
                          <a:off x="0" y="0"/>
                          <a:ext cx="2028825" cy="738505"/>
                        </a:xfrm>
                        <a:prstGeom prst="rect">
                          <a:avLst/>
                        </a:prstGeom>
                      </wps:spPr>
                      <wps:txbx>
                        <w:txbxContent>
                          <w:p w14:paraId="66227CE5" w14:textId="77777777" w:rsidR="00D24A4B" w:rsidRPr="00761CF3" w:rsidRDefault="00D24A4B" w:rsidP="00D24A4B">
                            <w:pPr>
                              <w:pStyle w:val="NormalWeb"/>
                              <w:spacing w:after="0"/>
                              <w:rPr>
                                <w:sz w:val="20"/>
                              </w:rPr>
                            </w:pPr>
                            <w:r w:rsidRPr="00761CF3">
                              <w:rPr>
                                <w:rFonts w:eastAsia="+mn-ea" w:cs="+mn-cs"/>
                                <w:kern w:val="24"/>
                                <w:sz w:val="20"/>
                              </w:rPr>
                              <w:t>Common developer experience for Azure and Azure Stack simplifies app development</w:t>
                            </w:r>
                          </w:p>
                        </w:txbxContent>
                      </wps:txbx>
                      <wps:bodyPr wrap="square" lIns="0" tIns="0" rIns="0" bIns="0">
                        <a:spAutoFit/>
                      </wps:bodyPr>
                    </wps:wsp>
                  </a:graphicData>
                </a:graphic>
                <wp14:sizeRelH relativeFrom="margin">
                  <wp14:pctWidth>0</wp14:pctWidth>
                </wp14:sizeRelH>
              </wp:anchor>
            </w:drawing>
          </mc:Choice>
          <mc:Fallback>
            <w:pict>
              <v:rect w14:anchorId="3B4D54B3" id="Rectangle 20" o:spid="_x0000_s1026" style="position:absolute;margin-left:264.3pt;margin-top:82.35pt;width:159.75pt;height:58.1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" filled="f" stroked="f">
                <v:textbox style="mso-fit-shape-to-text:t" inset="0,0,0,0">
                  <w:txbxContent>
                    <w:p w14:paraId="66227CE5" w14:textId="77777777" w:rsidR="00D24A4B" w:rsidRPr="00761CF3" w:rsidRDefault="00D24A4B" w:rsidP="00D24A4B">
                      <w:pPr>
                        <w:pStyle w:val="NormalWeb"/>
                        <w:spacing w:after="0"/>
                        <w:rPr>
                          <w:sz w:val="20"/>
                        </w:rPr>
                      </w:pPr>
                      <w:r w:rsidRPr="00761CF3">
                        <w:rPr>
                          <w:rFonts w:eastAsia="+mn-ea" w:cs="+mn-cs"/>
                          <w:kern w:val="24"/>
                          <w:sz w:val="20"/>
                        </w:rPr>
                        <w:t>Common developer experience for Azure and Azure Stack simplifies app development</w:t>
                      </w:r>
                    </w:p>
                  </w:txbxContent>
                </v:textbox>
              </v:rect>
            </w:pict>
          </mc:Fallback>
        </mc:AlternateContent>
      </w:r>
      <w:r w:rsidRPr="00143AB4">
        <w:rPr>
          <w:rFonts w:ascii="Arial" w:eastAsia="PMingLiU" w:hAnsi="Arial" w:cs="Times New Roman"/>
          <w:noProof/>
          <w:color w:val="000000"/>
          <w:szCs w:val="20"/>
          <w:lang w:val="en-GB" w:eastAsia="en-GB"/>
        </w:rPr>
        <mc:AlternateContent>
          <mc:Choice Requires="wps">
            <w:drawing>
              <wp:anchor distT="0" distB="0" distL="114300" distR="114300" simplePos="0" relativeHeight="251660288" behindDoc="0" locked="0" layoutInCell="1" allowOverlap="1" wp14:anchorId="2F4201AA" wp14:editId="1246B53F">
                <wp:simplePos x="0" y="0"/>
                <wp:positionH relativeFrom="column">
                  <wp:posOffset>3356610</wp:posOffset>
                </wp:positionH>
                <wp:positionV relativeFrom="paragraph">
                  <wp:posOffset>1988820</wp:posOffset>
                </wp:positionV>
                <wp:extent cx="2219325" cy="492125"/>
                <wp:effectExtent l="0" t="0" r="0" b="0"/>
                <wp:wrapNone/>
                <wp:docPr id="16" name="Rectangle 23"/>
                <wp:cNvGraphicFramePr/>
                <a:graphic xmlns:a="http://schemas.openxmlformats.org/drawingml/2006/main">
                  <a:graphicData uri="http://schemas.microsoft.com/office/word/2010/wordprocessingShape">
                    <wps:wsp>
                      <wps:cNvSpPr/>
                      <wps:spPr>
                        <a:xfrm>
                          <a:off x="0" y="0"/>
                          <a:ext cx="2219325" cy="492125"/>
                        </a:xfrm>
                        <a:prstGeom prst="rect">
                          <a:avLst/>
                        </a:prstGeom>
                      </wps:spPr>
                      <wps:txbx>
                        <w:txbxContent>
                          <w:p w14:paraId="27CD1AB9" w14:textId="77777777" w:rsidR="00D24A4B" w:rsidRPr="00761CF3" w:rsidRDefault="00D24A4B" w:rsidP="00D24A4B">
                            <w:pPr>
                              <w:pStyle w:val="NormalWeb"/>
                              <w:spacing w:after="0"/>
                              <w:rPr>
                                <w:sz w:val="20"/>
                              </w:rPr>
                            </w:pPr>
                            <w:r w:rsidRPr="00761CF3">
                              <w:rPr>
                                <w:rFonts w:eastAsia="+mn-ea" w:cs="+mn-cs"/>
                                <w:kern w:val="24"/>
                                <w:sz w:val="20"/>
                              </w:rPr>
                              <w:t>Consistent API allows deployment to Azure Stack or Azure public</w:t>
                            </w:r>
                          </w:p>
                        </w:txbxContent>
                      </wps:txbx>
                      <wps:bodyPr wrap="square" lIns="0" tIns="0" rIns="0" bIns="0">
                        <a:spAutoFit/>
                      </wps:bodyPr>
                    </wps:wsp>
                  </a:graphicData>
                </a:graphic>
                <wp14:sizeRelH relativeFrom="margin">
                  <wp14:pctWidth>0</wp14:pctWidth>
                </wp14:sizeRelH>
              </wp:anchor>
            </w:drawing>
          </mc:Choice>
          <mc:Fallback>
            <w:pict>
              <v:rect w14:anchorId="2F4201AA" id="Rectangle 23" o:spid="_x0000_s1027" style="position:absolute;margin-left:264.3pt;margin-top:156.6pt;width:174.75pt;height:38.7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" filled="f" stroked="f">
                <v:textbox style="mso-fit-shape-to-text:t" inset="0,0,0,0">
                  <w:txbxContent>
                    <w:p w14:paraId="27CD1AB9" w14:textId="77777777" w:rsidR="00D24A4B" w:rsidRPr="00761CF3" w:rsidRDefault="00D24A4B" w:rsidP="00D24A4B">
                      <w:pPr>
                        <w:pStyle w:val="NormalWeb"/>
                        <w:spacing w:after="0"/>
                        <w:rPr>
                          <w:sz w:val="20"/>
                        </w:rPr>
                      </w:pPr>
                      <w:r w:rsidRPr="00761CF3">
                        <w:rPr>
                          <w:rFonts w:eastAsia="+mn-ea" w:cs="+mn-cs"/>
                          <w:kern w:val="24"/>
                          <w:sz w:val="20"/>
                        </w:rPr>
                        <w:t>Consistent API allows deployment to Azure Stack or Azure public</w:t>
                      </w:r>
                    </w:p>
                  </w:txbxContent>
                </v:textbox>
              </v:rect>
            </w:pict>
          </mc:Fallback>
        </mc:AlternateContent>
      </w:r>
      <w:r w:rsidRPr="00143AB4">
        <w:rPr>
          <w:rFonts w:ascii="Arial" w:eastAsia="PMingLiU" w:hAnsi="Arial" w:cs="Times New Roman"/>
          <w:noProof/>
          <w:color w:val="000000"/>
          <w:szCs w:val="20"/>
          <w:lang w:val="en-GB" w:eastAsia="en-GB"/>
        </w:rPr>
        <mc:AlternateContent>
          <mc:Choice Requires="wps">
            <w:drawing>
              <wp:anchor distT="0" distB="0" distL="114300" distR="114300" simplePos="0" relativeHeight="251661312" behindDoc="0" locked="0" layoutInCell="1" allowOverlap="1" wp14:anchorId="3DA3E73C" wp14:editId="53EACF39">
                <wp:simplePos x="0" y="0"/>
                <wp:positionH relativeFrom="column">
                  <wp:posOffset>3356610</wp:posOffset>
                </wp:positionH>
                <wp:positionV relativeFrom="paragraph">
                  <wp:posOffset>2712720</wp:posOffset>
                </wp:positionV>
                <wp:extent cx="2305050" cy="645795"/>
                <wp:effectExtent l="0" t="0" r="0" b="0"/>
                <wp:wrapNone/>
                <wp:docPr id="17" name="Rectangle 26"/>
                <wp:cNvGraphicFramePr/>
                <a:graphic xmlns:a="http://schemas.openxmlformats.org/drawingml/2006/main">
                  <a:graphicData uri="http://schemas.microsoft.com/office/word/2010/wordprocessingShape">
                    <wps:wsp>
                      <wps:cNvSpPr/>
                      <wps:spPr>
                        <a:xfrm>
                          <a:off x="0" y="0"/>
                          <a:ext cx="2305050" cy="645795"/>
                        </a:xfrm>
                        <a:prstGeom prst="rect">
                          <a:avLst/>
                        </a:prstGeom>
                      </wps:spPr>
                      <wps:txbx>
                        <w:txbxContent>
                          <w:p w14:paraId="0F0AA3DB" w14:textId="77777777" w:rsidR="00D24A4B" w:rsidRPr="00761CF3" w:rsidRDefault="00D24A4B" w:rsidP="00D24A4B">
                            <w:pPr>
                              <w:pStyle w:val="NormalWeb"/>
                              <w:spacing w:after="0"/>
                              <w:rPr>
                                <w:rFonts w:eastAsia="+mn-ea" w:cs="+mn-cs"/>
                                <w:kern w:val="24"/>
                                <w:sz w:val="20"/>
                              </w:rPr>
                            </w:pPr>
                            <w:r w:rsidRPr="00761CF3">
                              <w:rPr>
                                <w:rFonts w:eastAsia="+mn-ea" w:cs="+mn-cs"/>
                                <w:kern w:val="24"/>
                                <w:sz w:val="20"/>
                              </w:rPr>
                              <w:t>Integrated system management simplifies operations (HPE OneView)</w:t>
                            </w:r>
                          </w:p>
                        </w:txbxContent>
                      </wps:txbx>
                      <wps:bodyPr wrap="square" lIns="0" tIns="0" rIns="0" bIns="0">
                        <a:spAutoFit/>
                      </wps:bodyPr>
                    </wps:wsp>
                  </a:graphicData>
                </a:graphic>
                <wp14:sizeRelH relativeFrom="margin">
                  <wp14:pctWidth>0</wp14:pctWidth>
                </wp14:sizeRelH>
              </wp:anchor>
            </w:drawing>
          </mc:Choice>
          <mc:Fallback>
            <w:pict>
              <v:rect w14:anchorId="3DA3E73C" id="Rectangle 26" o:spid="_x0000_s1028" style="position:absolute;margin-left:264.3pt;margin-top:213.6pt;width:181.5pt;height:50.8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" filled="f" stroked="f">
                <v:textbox style="mso-fit-shape-to-text:t" inset="0,0,0,0">
                  <w:txbxContent>
                    <w:p w14:paraId="0F0AA3DB" w14:textId="77777777" w:rsidR="00D24A4B" w:rsidRPr="00761CF3" w:rsidRDefault="00D24A4B" w:rsidP="00D24A4B">
                      <w:pPr>
                        <w:pStyle w:val="NormalWeb"/>
                        <w:spacing w:after="0"/>
                        <w:rPr>
                          <w:rFonts w:eastAsia="+mn-ea" w:cs="+mn-cs"/>
                          <w:kern w:val="24"/>
                          <w:sz w:val="20"/>
                        </w:rPr>
                      </w:pPr>
                      <w:r w:rsidRPr="00761CF3">
                        <w:rPr>
                          <w:rFonts w:eastAsia="+mn-ea" w:cs="+mn-cs"/>
                          <w:kern w:val="24"/>
                          <w:sz w:val="20"/>
                        </w:rPr>
                        <w:t>Integrated system management simplifies operations (HPE OneView)</w:t>
                      </w:r>
                    </w:p>
                  </w:txbxContent>
                </v:textbox>
              </v:rect>
            </w:pict>
          </mc:Fallback>
        </mc:AlternateContent>
      </w:r>
      <w:r w:rsidRPr="00143AB4">
        <w:rPr>
          <w:rFonts w:ascii="Arial" w:eastAsia="PMingLiU" w:hAnsi="Arial" w:cs="Times New Roman"/>
          <w:noProof/>
          <w:color w:val="000000"/>
          <w:szCs w:val="20"/>
          <w:lang w:val="en-GB" w:eastAsia="en-GB"/>
        </w:rPr>
        <mc:AlternateContent>
          <mc:Choice Requires="wps">
            <w:drawing>
              <wp:anchor distT="0" distB="0" distL="114300" distR="114300" simplePos="0" relativeHeight="251662336" behindDoc="0" locked="0" layoutInCell="1" allowOverlap="1" wp14:anchorId="721CA328" wp14:editId="4FAC337C">
                <wp:simplePos x="0" y="0"/>
                <wp:positionH relativeFrom="margin">
                  <wp:posOffset>3352800</wp:posOffset>
                </wp:positionH>
                <wp:positionV relativeFrom="paragraph">
                  <wp:posOffset>3589020</wp:posOffset>
                </wp:positionV>
                <wp:extent cx="2270760" cy="304800"/>
                <wp:effectExtent l="0" t="0" r="0" b="0"/>
                <wp:wrapNone/>
                <wp:docPr id="18" name="Rectangle 31"/>
                <wp:cNvGraphicFramePr/>
                <a:graphic xmlns:a="http://schemas.openxmlformats.org/drawingml/2006/main">
                  <a:graphicData uri="http://schemas.microsoft.com/office/word/2010/wordprocessingShape">
                    <wps:wsp>
                      <wps:cNvSpPr/>
                      <wps:spPr>
                        <a:xfrm>
                          <a:off x="0" y="0"/>
                          <a:ext cx="2270760" cy="304800"/>
                        </a:xfrm>
                        <a:prstGeom prst="rect">
                          <a:avLst/>
                        </a:prstGeom>
                      </wps:spPr>
                      <wps:txbx>
                        <w:txbxContent>
                          <w:p w14:paraId="04A75B32" w14:textId="77777777" w:rsidR="00D24A4B" w:rsidRPr="00761CF3" w:rsidRDefault="00D24A4B" w:rsidP="00D24A4B">
                            <w:pPr>
                              <w:pStyle w:val="NormalWeb"/>
                              <w:spacing w:after="0"/>
                              <w:rPr>
                                <w:sz w:val="20"/>
                              </w:rPr>
                            </w:pPr>
                            <w:r w:rsidRPr="00761CF3">
                              <w:rPr>
                                <w:rFonts w:eastAsia="+mn-ea" w:cs="+mn-cs"/>
                                <w:kern w:val="24"/>
                                <w:sz w:val="20"/>
                              </w:rPr>
                              <w:t>Single vendor support minimizes downtime</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rect w14:anchorId="721CA328" id="Rectangle 31" o:spid="_x0000_s1029" style="position:absolute;margin-left:264pt;margin-top:282.6pt;width:178.8pt;height:24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" filled="f" stroked="f">
                <v:textbox inset="0,0,0,0">
                  <w:txbxContent>
                    <w:p w14:paraId="04A75B32" w14:textId="77777777" w:rsidR="00D24A4B" w:rsidRPr="00761CF3" w:rsidRDefault="00D24A4B" w:rsidP="00D24A4B">
                      <w:pPr>
                        <w:pStyle w:val="NormalWeb"/>
                        <w:spacing w:after="0"/>
                        <w:rPr>
                          <w:sz w:val="20"/>
                        </w:rPr>
                      </w:pPr>
                      <w:r w:rsidRPr="00761CF3">
                        <w:rPr>
                          <w:rFonts w:eastAsia="+mn-ea" w:cs="+mn-cs"/>
                          <w:kern w:val="24"/>
                          <w:sz w:val="20"/>
                        </w:rPr>
                        <w:t>Single vendor support minimizes downtime</w:t>
                      </w:r>
                    </w:p>
                  </w:txbxContent>
                </v:textbox>
                <w10:wrap anchorx="margin"/>
              </v:rect>
            </w:pict>
          </mc:Fallback>
        </mc:AlternateContent>
      </w:r>
      <w:r w:rsidRPr="00143AB4">
        <w:rPr>
          <w:rFonts w:ascii="Arial" w:eastAsia="PMingLiU" w:hAnsi="Arial" w:cs="Times New Roman"/>
          <w:noProof/>
          <w:color w:val="000000"/>
          <w:szCs w:val="20"/>
          <w:lang w:val="en-GB" w:eastAsia="en-GB"/>
        </w:rPr>
        <w:drawing>
          <wp:anchor distT="0" distB="0" distL="114300" distR="114300" simplePos="0" relativeHeight="251663360" behindDoc="0" locked="0" layoutInCell="1" allowOverlap="1" wp14:anchorId="1C4002ED" wp14:editId="5EBD00A2">
            <wp:simplePos x="0" y="0"/>
            <wp:positionH relativeFrom="column">
              <wp:posOffset>2672715</wp:posOffset>
            </wp:positionH>
            <wp:positionV relativeFrom="paragraph">
              <wp:posOffset>986790</wp:posOffset>
            </wp:positionV>
            <wp:extent cx="457200" cy="457200"/>
            <wp:effectExtent l="0" t="0" r="0" b="0"/>
            <wp:wrapNone/>
            <wp:docPr id="12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200" cy="457200"/>
                    </a:xfrm>
                    <a:prstGeom prst="rect">
                      <a:avLst/>
                    </a:prstGeom>
                  </pic:spPr>
                </pic:pic>
              </a:graphicData>
            </a:graphic>
          </wp:anchor>
        </w:drawing>
      </w:r>
      <w:r w:rsidRPr="00143AB4">
        <w:rPr>
          <w:rFonts w:ascii="Arial" w:eastAsia="PMingLiU" w:hAnsi="Arial" w:cs="Times New Roman"/>
          <w:noProof/>
          <w:color w:val="000000"/>
          <w:szCs w:val="20"/>
          <w:lang w:val="en-GB" w:eastAsia="en-GB"/>
        </w:rPr>
        <w:drawing>
          <wp:anchor distT="0" distB="0" distL="114300" distR="114300" simplePos="0" relativeHeight="251664384" behindDoc="0" locked="0" layoutInCell="1" allowOverlap="1" wp14:anchorId="13CE2C15" wp14:editId="677DE450">
            <wp:simplePos x="0" y="0"/>
            <wp:positionH relativeFrom="column">
              <wp:posOffset>2672715</wp:posOffset>
            </wp:positionH>
            <wp:positionV relativeFrom="paragraph">
              <wp:posOffset>1909445</wp:posOffset>
            </wp:positionV>
            <wp:extent cx="457200" cy="457200"/>
            <wp:effectExtent l="0" t="0" r="0" b="0"/>
            <wp:wrapNone/>
            <wp:docPr id="12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 cy="457200"/>
                    </a:xfrm>
                    <a:prstGeom prst="rect">
                      <a:avLst/>
                    </a:prstGeom>
                  </pic:spPr>
                </pic:pic>
              </a:graphicData>
            </a:graphic>
          </wp:anchor>
        </w:drawing>
      </w:r>
      <w:r w:rsidRPr="00143AB4">
        <w:rPr>
          <w:rFonts w:ascii="Arial" w:eastAsia="PMingLiU" w:hAnsi="Arial" w:cs="Times New Roman"/>
          <w:noProof/>
          <w:color w:val="000000"/>
          <w:szCs w:val="20"/>
          <w:lang w:val="en-GB" w:eastAsia="en-GB"/>
        </w:rPr>
        <w:drawing>
          <wp:anchor distT="0" distB="0" distL="114300" distR="114300" simplePos="0" relativeHeight="251665408" behindDoc="0" locked="0" layoutInCell="1" allowOverlap="1" wp14:anchorId="63ACC43A" wp14:editId="75F0C5E0">
            <wp:simplePos x="0" y="0"/>
            <wp:positionH relativeFrom="column">
              <wp:posOffset>2667000</wp:posOffset>
            </wp:positionH>
            <wp:positionV relativeFrom="paragraph">
              <wp:posOffset>2613660</wp:posOffset>
            </wp:positionV>
            <wp:extent cx="457200" cy="457200"/>
            <wp:effectExtent l="0" t="0" r="0" b="0"/>
            <wp:wrapNone/>
            <wp:docPr id="13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6"/>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200" cy="457200"/>
                    </a:xfrm>
                    <a:prstGeom prst="rect">
                      <a:avLst/>
                    </a:prstGeom>
                  </pic:spPr>
                </pic:pic>
              </a:graphicData>
            </a:graphic>
          </wp:anchor>
        </w:drawing>
      </w:r>
      <w:r w:rsidRPr="00143AB4">
        <w:rPr>
          <w:rFonts w:ascii="Arial" w:eastAsia="PMingLiU" w:hAnsi="Arial" w:cs="Times New Roman"/>
          <w:noProof/>
          <w:color w:val="000000"/>
          <w:szCs w:val="20"/>
          <w:lang w:val="en-GB" w:eastAsia="en-GB"/>
        </w:rPr>
        <w:drawing>
          <wp:anchor distT="0" distB="0" distL="114300" distR="114300" simplePos="0" relativeHeight="251666432" behindDoc="0" locked="0" layoutInCell="1" allowOverlap="1" wp14:anchorId="30E4164A" wp14:editId="3937EEB9">
            <wp:simplePos x="0" y="0"/>
            <wp:positionH relativeFrom="column">
              <wp:posOffset>2667000</wp:posOffset>
            </wp:positionH>
            <wp:positionV relativeFrom="paragraph">
              <wp:posOffset>3507105</wp:posOffset>
            </wp:positionV>
            <wp:extent cx="457200" cy="457200"/>
            <wp:effectExtent l="0" t="0" r="0" b="0"/>
            <wp:wrapNone/>
            <wp:docPr id="131"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7"/>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200" cy="457200"/>
                    </a:xfrm>
                    <a:prstGeom prst="rect">
                      <a:avLst/>
                    </a:prstGeom>
                  </pic:spPr>
                </pic:pic>
              </a:graphicData>
            </a:graphic>
          </wp:anchor>
        </w:drawing>
      </w:r>
      <w:r w:rsidRPr="00143AB4">
        <w:rPr>
          <w:rFonts w:ascii="Arial" w:eastAsia="PMingLiU" w:hAnsi="Arial" w:cs="Times New Roman"/>
          <w:noProof/>
          <w:color w:val="000000"/>
          <w:szCs w:val="20"/>
          <w:lang w:val="en-GB" w:eastAsia="en-GB"/>
        </w:rPr>
        <w:drawing>
          <wp:inline distT="0" distB="0" distL="0" distR="0" wp14:anchorId="31CE00E1" wp14:editId="47049121">
            <wp:extent cx="2834640" cy="4919980"/>
            <wp:effectExtent l="0" t="0" r="381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34640" cy="4919980"/>
                    </a:xfrm>
                    <a:prstGeom prst="rect">
                      <a:avLst/>
                    </a:prstGeom>
                    <a:noFill/>
                  </pic:spPr>
                </pic:pic>
              </a:graphicData>
            </a:graphic>
          </wp:inline>
        </w:drawing>
      </w:r>
    </w:p>
    <w:p w14:paraId="36422140" w14:textId="77777777" w:rsidR="00D24A4B" w:rsidRPr="00143AB4" w:rsidRDefault="00D24A4B" w:rsidP="00D24A4B">
      <w:pPr>
        <w:spacing w:after="0" w:line="240" w:lineRule="auto"/>
        <w:rPr>
          <w:rFonts w:ascii="Arial" w:eastAsia="PMingLiU" w:hAnsi="Arial" w:cs="Times New Roman"/>
          <w:color w:val="000000"/>
          <w:szCs w:val="20"/>
        </w:rPr>
      </w:pPr>
      <w:r w:rsidRPr="00143AB4">
        <w:rPr>
          <w:rFonts w:ascii="Arial" w:eastAsia="PMingLiU" w:hAnsi="Arial" w:cs="Times New Roman"/>
          <w:noProof/>
          <w:color w:val="000000"/>
          <w:szCs w:val="20"/>
          <w:lang w:val="en-GB" w:eastAsia="en-GB"/>
        </w:rPr>
        <mc:AlternateContent>
          <mc:Choice Requires="wps">
            <w:drawing>
              <wp:anchor distT="0" distB="0" distL="114300" distR="114300" simplePos="0" relativeHeight="251667456" behindDoc="0" locked="0" layoutInCell="1" allowOverlap="1" wp14:anchorId="15406D37" wp14:editId="63AAA2BB">
                <wp:simplePos x="0" y="0"/>
                <wp:positionH relativeFrom="margin">
                  <wp:posOffset>0</wp:posOffset>
                </wp:positionH>
                <wp:positionV relativeFrom="paragraph">
                  <wp:posOffset>40640</wp:posOffset>
                </wp:positionV>
                <wp:extent cx="5623560" cy="511810"/>
                <wp:effectExtent l="0" t="0" r="0" b="2540"/>
                <wp:wrapNone/>
                <wp:docPr id="20" name="Rectangle 33"/>
                <wp:cNvGraphicFramePr/>
                <a:graphic xmlns:a="http://schemas.openxmlformats.org/drawingml/2006/main">
                  <a:graphicData uri="http://schemas.microsoft.com/office/word/2010/wordprocessingShape">
                    <wps:wsp>
                      <wps:cNvSpPr/>
                      <wps:spPr bwMode="ltGray">
                        <a:xfrm>
                          <a:off x="0" y="0"/>
                          <a:ext cx="5623560" cy="511810"/>
                        </a:xfrm>
                        <a:prstGeom prst="rect">
                          <a:avLst/>
                        </a:prstGeom>
                        <a:solidFill>
                          <a:srgbClr val="425563"/>
                        </a:solidFill>
                        <a:ln w="19050" cap="flat" cmpd="sng" algn="ctr">
                          <a:noFill/>
                          <a:prstDash val="solid"/>
                          <a:miter lim="800000"/>
                        </a:ln>
                        <a:effectLst/>
                      </wps:spPr>
                      <wps:txbx>
                        <w:txbxContent>
                          <w:p w14:paraId="0C59599D" w14:textId="77777777" w:rsidR="00D24A4B" w:rsidRDefault="00D24A4B" w:rsidP="00D24A4B">
                            <w:pPr>
                              <w:pStyle w:val="NormalWeb"/>
                              <w:spacing w:after="0" w:line="216" w:lineRule="auto"/>
                              <w:jc w:val="center"/>
                            </w:pPr>
                            <w:r>
                              <w:rPr>
                                <w:rFonts w:eastAsia="+mn-ea" w:cs="+mn-cs"/>
                                <w:color w:val="FFFFFF"/>
                                <w:kern w:val="24"/>
                                <w:sz w:val="36"/>
                                <w:szCs w:val="36"/>
                              </w:rPr>
                              <w:t>Most configurable solution available</w:t>
                            </w:r>
                          </w:p>
                        </w:txbxContent>
                      </wps:txbx>
                      <wps:bodyPr wrap="square" rtlCol="0" anchor="ctr"/>
                    </wps:wsp>
                  </a:graphicData>
                </a:graphic>
                <wp14:sizeRelH relativeFrom="margin">
                  <wp14:pctWidth>0</wp14:pctWidth>
                </wp14:sizeRelH>
              </wp:anchor>
            </w:drawing>
          </mc:Choice>
          <mc:Fallback>
            <w:pict>
              <v:rect w14:anchorId="15406D37" id="Rectangle 33" o:spid="_x0000_s1030" style="position:absolute;margin-left:0;margin-top:3.2pt;width:442.8pt;height:40.3pt;z-index:251667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bwmode="light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" fillcolor="#425563" stroked="f" strokeweight="1.5pt">
                <v:textbox>
                  <w:txbxContent>
                    <w:p w14:paraId="0C59599D" w14:textId="77777777" w:rsidR="00D24A4B" w:rsidRDefault="00D24A4B" w:rsidP="00D24A4B">
                      <w:pPr>
                        <w:pStyle w:val="NormalWeb"/>
                        <w:spacing w:after="0" w:line="216" w:lineRule="auto"/>
                        <w:jc w:val="center"/>
                      </w:pPr>
                      <w:r>
                        <w:rPr>
                          <w:rFonts w:eastAsia="+mn-ea" w:cs="+mn-cs"/>
                          <w:color w:val="FFFFFF"/>
                          <w:kern w:val="24"/>
                          <w:sz w:val="36"/>
                          <w:szCs w:val="36"/>
                        </w:rPr>
                        <w:t>Most configurable solution available</w:t>
                      </w:r>
                    </w:p>
                  </w:txbxContent>
                </v:textbox>
                <w10:wrap anchorx="margin"/>
              </v:rect>
            </w:pict>
          </mc:Fallback>
        </mc:AlternateContent>
      </w:r>
    </w:p>
    <w:p w14:paraId="22027330" w14:textId="77777777" w:rsidR="00D24A4B" w:rsidRPr="00143AB4" w:rsidRDefault="00D24A4B" w:rsidP="00D24A4B">
      <w:pPr>
        <w:spacing w:after="0" w:line="240" w:lineRule="auto"/>
        <w:rPr>
          <w:rFonts w:ascii="Arial" w:eastAsia="PMingLiU" w:hAnsi="Arial" w:cs="Times New Roman"/>
          <w:color w:val="000000"/>
          <w:szCs w:val="20"/>
        </w:rPr>
      </w:pPr>
    </w:p>
    <w:p w14:paraId="5309B13B" w14:textId="77777777" w:rsidR="00D24A4B" w:rsidRPr="00143AB4" w:rsidRDefault="00D24A4B" w:rsidP="00D24A4B">
      <w:pPr>
        <w:spacing w:after="0" w:line="240" w:lineRule="auto"/>
        <w:rPr>
          <w:rFonts w:ascii="Arial" w:eastAsia="PMingLiU" w:hAnsi="Arial" w:cs="Times New Roman"/>
          <w:color w:val="000000"/>
          <w:szCs w:val="20"/>
        </w:rPr>
      </w:pPr>
    </w:p>
    <w:p w14:paraId="35E11880" w14:textId="77777777" w:rsidR="00D24A4B" w:rsidRPr="00143AB4" w:rsidRDefault="00D24A4B" w:rsidP="00D24A4B">
      <w:pPr>
        <w:pStyle w:val="Heading50"/>
      </w:pPr>
      <w:r w:rsidRPr="00143AB4">
        <w:t>Azure Goes Hybrid</w:t>
      </w:r>
    </w:p>
    <w:p w14:paraId="1775A7D7" w14:textId="77777777" w:rsidR="00D24A4B" w:rsidRDefault="00D24A4B" w:rsidP="00D24A4B">
      <w:pPr>
        <w:pStyle w:val="BodyText"/>
      </w:pPr>
      <w:r w:rsidRPr="00143AB4">
        <w:t xml:space="preserve">Co-engineered by </w:t>
      </w:r>
      <w:r>
        <w:t>HPE</w:t>
      </w:r>
      <w:r w:rsidRPr="00143AB4">
        <w:t xml:space="preserve"> and Microsoft, the HPE GreenLake ProLiant for Microsoft Azure Stack solution provides business with an Azure hybrid cloud platform in the Purchasing Entity’s datacenter or a datacenter of their choice for the sole use and control of the Purchasing Entity client that is fully compatible with Azure Public Cloud services. This hybrid cloud solution delivers the speed, agility, and simplicity of a public cloud, combined </w:t>
      </w:r>
      <w:r w:rsidRPr="00143AB4">
        <w:lastRenderedPageBreak/>
        <w:t>with the cost-effectiveness and security of a powerful on-premises private cloud. Adding to the benefits is consistency with Microsoft Azure public cloud services.</w:t>
      </w:r>
    </w:p>
    <w:p w14:paraId="17B4A592" w14:textId="77777777" w:rsidR="00D24A4B" w:rsidRDefault="00D24A4B" w:rsidP="00D24A4B">
      <w:pPr>
        <w:pStyle w:val="FigureCaptionAuto"/>
        <w:ind w:left="432" w:hanging="432"/>
      </w:pPr>
      <w:r w:rsidRPr="00E549BB">
        <w:t>Azure Hybrid Cloud IaaS, PaaS, and SaaS Services</w:t>
      </w:r>
    </w:p>
    <w:p w14:paraId="084089F0" w14:textId="77777777" w:rsidR="00D24A4B" w:rsidRPr="00143AB4" w:rsidRDefault="00D24A4B" w:rsidP="00D24A4B">
      <w:pPr>
        <w:pStyle w:val="BodyText"/>
      </w:pPr>
      <w:r>
        <w:rPr>
          <w:noProof/>
          <w:lang w:val="en-GB" w:eastAsia="en-GB"/>
        </w:rPr>
        <w:drawing>
          <wp:inline distT="0" distB="0" distL="0" distR="0" wp14:anchorId="2431D247" wp14:editId="265CA850">
            <wp:extent cx="5624830" cy="2985770"/>
            <wp:effectExtent l="0" t="0" r="0" b="508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6F4A7DB.tmp"/>
                    <pic:cNvPicPr/>
                  </pic:nvPicPr>
                  <pic:blipFill>
                    <a:blip r:embed="rId16">
                      <a:extLst>
                        <a:ext uri="{28A0092B-C50C-407E-A947-70E740481C1C}">
                          <a14:useLocalDpi xmlns:a14="http://schemas.microsoft.com/office/drawing/2010/main" val="0"/>
                        </a:ext>
                      </a:extLst>
                    </a:blip>
                    <a:stretch>
                      <a:fillRect/>
                    </a:stretch>
                  </pic:blipFill>
                  <pic:spPr>
                    <a:xfrm>
                      <a:off x="0" y="0"/>
                      <a:ext cx="5624830" cy="2985770"/>
                    </a:xfrm>
                    <a:prstGeom prst="rect">
                      <a:avLst/>
                    </a:prstGeom>
                  </pic:spPr>
                </pic:pic>
              </a:graphicData>
            </a:graphic>
          </wp:inline>
        </w:drawing>
      </w:r>
    </w:p>
    <w:p w14:paraId="2EF882FF" w14:textId="77777777" w:rsidR="00D24A4B" w:rsidRPr="00143AB4" w:rsidRDefault="00D24A4B" w:rsidP="00D24A4B">
      <w:pPr>
        <w:pStyle w:val="Heading50"/>
      </w:pPr>
      <w:r w:rsidRPr="00143AB4">
        <w:t>Maximize IT Agility and Reduce Implementation Risk</w:t>
      </w:r>
    </w:p>
    <w:p w14:paraId="0EC63D11" w14:textId="77777777" w:rsidR="00D24A4B" w:rsidRPr="00143AB4" w:rsidRDefault="00D24A4B" w:rsidP="00D24A4B">
      <w:pPr>
        <w:pStyle w:val="BodyText"/>
      </w:pPr>
      <w:r w:rsidRPr="00143AB4">
        <w:t>The HPE GreenLake ProLiant for Microsoft Azure Stack is fully integrated system that delivers Azure</w:t>
      </w:r>
      <w:r w:rsidRPr="00143AB4">
        <w:rPr>
          <w:rFonts w:ascii="Cambria Math" w:hAnsi="Cambria Math" w:cs="Cambria Math"/>
        </w:rPr>
        <w:t>‑</w:t>
      </w:r>
      <w:r w:rsidRPr="00143AB4">
        <w:t>compatible, software</w:t>
      </w:r>
      <w:r w:rsidRPr="00143AB4">
        <w:rPr>
          <w:rFonts w:ascii="Cambria Math" w:hAnsi="Cambria Math" w:cs="Cambria Math"/>
        </w:rPr>
        <w:t>‑</w:t>
      </w:r>
      <w:r w:rsidRPr="00143AB4">
        <w:t>defined Infrastructure-as-a-Service (IaaS) and Platform-as-a-Service (PaaS) on HPE hardware that has been tested and validated. This means you can easily transform your on</w:t>
      </w:r>
      <w:r w:rsidRPr="00143AB4">
        <w:rPr>
          <w:rFonts w:ascii="Cambria Math" w:hAnsi="Cambria Math" w:cs="Cambria Math"/>
        </w:rPr>
        <w:t>‑</w:t>
      </w:r>
      <w:r w:rsidRPr="00143AB4">
        <w:t>premises data center resources in a hybrid cloud environment or build your own on-premises private cloud services</w:t>
      </w:r>
      <w:r w:rsidRPr="00143AB4">
        <w:rPr>
          <w:rFonts w:cs="Arial"/>
        </w:rPr>
        <w:t>—</w:t>
      </w:r>
      <w:r w:rsidRPr="00143AB4">
        <w:t>which provides more agility to take advantage of applications designed and built for the cloud.</w:t>
      </w:r>
    </w:p>
    <w:p w14:paraId="66217324" w14:textId="77777777" w:rsidR="00D24A4B" w:rsidRPr="00143AB4" w:rsidRDefault="00D24A4B" w:rsidP="00D24A4B">
      <w:pPr>
        <w:pStyle w:val="BodyText"/>
      </w:pPr>
      <w:r w:rsidRPr="00143AB4">
        <w:t>Users can quickly provision and scale services with the same self-service experience as Azure. For example, Microsoft Azure Stack accelerates DevOps by providing a rich Azure ecosystem of resources. Application developers can maximize their productivity using a “write once, deploy to Azure or Azure Stack” approach. Using APIs that are identical to Microsoft Azure, you can create applications based on your choice of open source or</w:t>
      </w:r>
      <w:r>
        <w:t>.</w:t>
      </w:r>
      <w:r w:rsidRPr="00143AB4">
        <w:t>NET technology.</w:t>
      </w:r>
    </w:p>
    <w:p w14:paraId="2C4B0E3C" w14:textId="77777777" w:rsidR="00D24A4B" w:rsidRPr="005857F9" w:rsidRDefault="00D24A4B" w:rsidP="00D24A4B">
      <w:pPr>
        <w:pStyle w:val="BodyText"/>
      </w:pPr>
      <w:r>
        <w:rPr>
          <w:noProof/>
          <w:lang w:val="en-GB" w:eastAsia="en-GB"/>
        </w:rPr>
        <mc:AlternateContent>
          <mc:Choice Requires="wps">
            <w:drawing>
              <wp:anchor distT="0" distB="0" distL="114300" distR="114300" simplePos="0" relativeHeight="251676672" behindDoc="0" locked="0" layoutInCell="1" allowOverlap="1" wp14:anchorId="4BB1D995" wp14:editId="00F4FEC7">
                <wp:simplePos x="0" y="0"/>
                <wp:positionH relativeFrom="margin">
                  <wp:align>right</wp:align>
                </wp:positionH>
                <wp:positionV relativeFrom="paragraph">
                  <wp:posOffset>163830</wp:posOffset>
                </wp:positionV>
                <wp:extent cx="5610225" cy="304800"/>
                <wp:effectExtent l="0" t="0" r="9525" b="0"/>
                <wp:wrapNone/>
                <wp:docPr id="141" name="Freeform 9"/>
                <wp:cNvGraphicFramePr/>
                <a:graphic xmlns:a="http://schemas.openxmlformats.org/drawingml/2006/main">
                  <a:graphicData uri="http://schemas.microsoft.com/office/word/2010/wordprocessingShape">
                    <wps:wsp>
                      <wps:cNvSpPr/>
                      <wps:spPr>
                        <a:xfrm>
                          <a:off x="0" y="0"/>
                          <a:ext cx="5610225" cy="304800"/>
                        </a:xfrm>
                        <a:custGeom>
                          <a:avLst/>
                          <a:gdLst>
                            <a:gd name="connsiteX0" fmla="*/ 188969 w 10986134"/>
                            <a:gd name="connsiteY0" fmla="*/ 176957 h 1957368"/>
                            <a:gd name="connsiteX1" fmla="*/ 188969 w 10986134"/>
                            <a:gd name="connsiteY1" fmla="*/ 1768399 h 1957368"/>
                            <a:gd name="connsiteX2" fmla="*/ 10797165 w 10986134"/>
                            <a:gd name="connsiteY2" fmla="*/ 1768399 h 1957368"/>
                            <a:gd name="connsiteX3" fmla="*/ 10797165 w 10986134"/>
                            <a:gd name="connsiteY3" fmla="*/ 176957 h 1957368"/>
                            <a:gd name="connsiteX4" fmla="*/ 10797165 w 10986134"/>
                            <a:gd name="connsiteY4" fmla="*/ 0 h 1957368"/>
                            <a:gd name="connsiteX5" fmla="*/ 10986134 w 10986134"/>
                            <a:gd name="connsiteY5" fmla="*/ 0 h 1957368"/>
                            <a:gd name="connsiteX6" fmla="*/ 10986134 w 10986134"/>
                            <a:gd name="connsiteY6" fmla="*/ 1957368 h 1957368"/>
                            <a:gd name="connsiteX7" fmla="*/ 10971369 w 10986134"/>
                            <a:gd name="connsiteY7" fmla="*/ 1957368 h 1957368"/>
                            <a:gd name="connsiteX8" fmla="*/ 10797165 w 10986134"/>
                            <a:gd name="connsiteY8" fmla="*/ 1957368 h 1957368"/>
                            <a:gd name="connsiteX9" fmla="*/ 188969 w 10986134"/>
                            <a:gd name="connsiteY9" fmla="*/ 1957368 h 1957368"/>
                            <a:gd name="connsiteX10" fmla="*/ 14764 w 10986134"/>
                            <a:gd name="connsiteY10" fmla="*/ 1957368 h 1957368"/>
                            <a:gd name="connsiteX11" fmla="*/ 0 w 10986134"/>
                            <a:gd name="connsiteY11" fmla="*/ 1957368 h 1957368"/>
                            <a:gd name="connsiteX12" fmla="*/ 0 w 10986134"/>
                            <a:gd name="connsiteY12" fmla="*/ 0 h 1957368"/>
                            <a:gd name="connsiteX13" fmla="*/ 14764 w 10986134"/>
                            <a:gd name="connsiteY13" fmla="*/ 0 h 1957368"/>
                            <a:gd name="connsiteX14" fmla="*/ 188969 w 10986134"/>
                            <a:gd name="connsiteY14" fmla="*/ 0 h 1957368"/>
                            <a:gd name="connsiteX15" fmla="*/ 10797165 w 10986134"/>
                            <a:gd name="connsiteY15" fmla="*/ 0 h 19573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10986134" h="1957368">
                              <a:moveTo>
                                <a:pt x="188969" y="176957"/>
                              </a:moveTo>
                              <a:lnTo>
                                <a:pt x="188969" y="1768399"/>
                              </a:lnTo>
                              <a:lnTo>
                                <a:pt x="10797165" y="1768399"/>
                              </a:lnTo>
                              <a:lnTo>
                                <a:pt x="10797165" y="176957"/>
                              </a:lnTo>
                              <a:close/>
                              <a:moveTo>
                                <a:pt x="10797165" y="0"/>
                              </a:moveTo>
                              <a:lnTo>
                                <a:pt x="10986134" y="0"/>
                              </a:lnTo>
                              <a:lnTo>
                                <a:pt x="10986134" y="1957368"/>
                              </a:lnTo>
                              <a:lnTo>
                                <a:pt x="10971369" y="1957368"/>
                              </a:lnTo>
                              <a:lnTo>
                                <a:pt x="10797165" y="1957368"/>
                              </a:lnTo>
                              <a:lnTo>
                                <a:pt x="188969" y="1957368"/>
                              </a:lnTo>
                              <a:lnTo>
                                <a:pt x="14764" y="1957368"/>
                              </a:lnTo>
                              <a:lnTo>
                                <a:pt x="0" y="1957368"/>
                              </a:lnTo>
                              <a:lnTo>
                                <a:pt x="0" y="0"/>
                              </a:lnTo>
                              <a:lnTo>
                                <a:pt x="14764" y="0"/>
                              </a:lnTo>
                              <a:lnTo>
                                <a:pt x="188969" y="0"/>
                              </a:lnTo>
                              <a:lnTo>
                                <a:pt x="10797165" y="0"/>
                              </a:lnTo>
                              <a:close/>
                            </a:path>
                          </a:pathLst>
                        </a:custGeom>
                        <a:solidFill>
                          <a:srgbClr val="01A982"/>
                        </a:solidFill>
                        <a:ln w="19050">
                          <a:noFill/>
                          <a:miter lim="800000"/>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09F3EDCD" id="Freeform 9" o:spid="_x0000_s1026" style="position:absolute;margin-left:390.55pt;margin-top:12.9pt;width:441.75pt;height:24pt;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coordsize="10986134,19573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" path="m188969,176957r,1591442l10797165,1768399r,-1591442l188969,176957xm10797165,r188969,l10986134,1957368r-14765,l10797165,1957368r-10608196,l14764,1957368r-14764,l,,14764,,188969,,10797165,xe" fillcolor="#01a982" stroked="f" strokeweight="1.5pt">
                <v:stroke joinstyle="miter"/>
                <v:path arrowok="t" o:connecttype="custom" o:connectlocs="96500,27556;96500,275374;5513725,275374;5513725,27556;5513725,0;5610225,0;5610225,304800;5602685,304800;5513725,304800;96500,304800;7539,304800;0,304800;0,0;7539,0;96500,0;5513725,0" o:connectangles="0,0,0,0,0,0,0,0,0,0,0,0,0,0,0,0"/>
                <w10:wrap anchorx="margin"/>
              </v:shape>
            </w:pict>
          </mc:Fallback>
        </mc:AlternateContent>
      </w:r>
    </w:p>
    <w:p w14:paraId="566DEBB0" w14:textId="77777777" w:rsidR="00D24A4B" w:rsidRPr="00DB11B2" w:rsidRDefault="00D24A4B" w:rsidP="00D24A4B">
      <w:pPr>
        <w:rPr>
          <w:rFonts w:ascii="Arial" w:hAnsi="Arial" w:cs="Arial"/>
          <w:b/>
          <w:sz w:val="24"/>
          <w:szCs w:val="24"/>
        </w:rPr>
      </w:pPr>
      <w:r w:rsidRPr="00DB11B2">
        <w:rPr>
          <w:rFonts w:ascii="Arial" w:hAnsi="Arial" w:cs="Arial"/>
          <w:b/>
          <w:sz w:val="24"/>
          <w:szCs w:val="24"/>
        </w:rPr>
        <w:t xml:space="preserve">   </w:t>
      </w:r>
      <w:r>
        <w:rPr>
          <w:rFonts w:ascii="Arial" w:hAnsi="Arial" w:cs="Arial"/>
          <w:b/>
          <w:sz w:val="24"/>
          <w:szCs w:val="24"/>
        </w:rPr>
        <w:t xml:space="preserve">HPE </w:t>
      </w:r>
      <w:r w:rsidRPr="00DB11B2">
        <w:rPr>
          <w:rFonts w:ascii="Arial" w:hAnsi="Arial" w:cs="Arial"/>
          <w:b/>
          <w:sz w:val="24"/>
          <w:szCs w:val="24"/>
        </w:rPr>
        <w:t>Unmatched Capabilities for Microsoft Azure</w:t>
      </w:r>
    </w:p>
    <w:p w14:paraId="51F79B40" w14:textId="77777777" w:rsidR="00D24A4B" w:rsidRPr="00143AB4" w:rsidRDefault="00D24A4B" w:rsidP="00D24A4B">
      <w:pPr>
        <w:pStyle w:val="BodyText"/>
      </w:pPr>
      <w:r w:rsidRPr="00143AB4">
        <w:t>Today HPE GreenLake ProLiant for Microsoft Azure Stack is the only solution offering in the market with:</w:t>
      </w:r>
    </w:p>
    <w:p w14:paraId="230BB7B3" w14:textId="77777777" w:rsidR="00D24A4B" w:rsidRPr="00143AB4" w:rsidRDefault="00D24A4B" w:rsidP="00D24A4B">
      <w:pPr>
        <w:pStyle w:val="Bullet1Double"/>
        <w:numPr>
          <w:ilvl w:val="0"/>
          <w:numId w:val="9"/>
        </w:numPr>
        <w:tabs>
          <w:tab w:val="clear" w:pos="0"/>
        </w:tabs>
        <w:ind w:left="360" w:hanging="360"/>
      </w:pPr>
      <w:r w:rsidRPr="00143AB4">
        <w:t>Broadest configuration options with choice in processor type, memory, storage capacity, as well as support for 3rd party networking switches, power supplies and rack options, helping ensure the solution will fit seamlessly into your existing environment</w:t>
      </w:r>
    </w:p>
    <w:p w14:paraId="13931284" w14:textId="77777777" w:rsidR="00D24A4B" w:rsidRPr="00143AB4" w:rsidRDefault="00D24A4B" w:rsidP="00D24A4B">
      <w:pPr>
        <w:pStyle w:val="Bullet1Double"/>
        <w:numPr>
          <w:ilvl w:val="0"/>
          <w:numId w:val="9"/>
        </w:numPr>
        <w:tabs>
          <w:tab w:val="clear" w:pos="0"/>
        </w:tabs>
        <w:ind w:left="360" w:hanging="360"/>
      </w:pPr>
      <w:r w:rsidRPr="00143AB4">
        <w:t>Investment optimization with clusters sized in single node increments instead of four node increments, like most competitive offerings in the market. These competitive offers can results in over provisioning and unnecessary cost</w:t>
      </w:r>
    </w:p>
    <w:p w14:paraId="0C3A062E" w14:textId="77777777" w:rsidR="00D24A4B" w:rsidRPr="00143AB4" w:rsidRDefault="00D24A4B" w:rsidP="00D24A4B">
      <w:pPr>
        <w:pStyle w:val="Bullet1Double"/>
        <w:numPr>
          <w:ilvl w:val="0"/>
          <w:numId w:val="9"/>
        </w:numPr>
        <w:tabs>
          <w:tab w:val="clear" w:pos="0"/>
        </w:tabs>
        <w:ind w:left="360" w:hanging="360"/>
      </w:pPr>
      <w:r w:rsidRPr="00143AB4">
        <w:lastRenderedPageBreak/>
        <w:t>HPE ProLiant for Microsoft Azure Stack provides higher storage capacity with support for up to 120 TB of raw capacity per node—delivering a 50% overall increase in capacity, enabling you to run workloads at a faster rate.</w:t>
      </w:r>
      <w:r>
        <w:t xml:space="preserve"> </w:t>
      </w:r>
      <w:r w:rsidRPr="00143AB4">
        <w:t>The higher workload performance allows for a 66% boost in memory bandwidth and double the memory capacity.</w:t>
      </w:r>
    </w:p>
    <w:p w14:paraId="290BDD57" w14:textId="77777777" w:rsidR="00D24A4B" w:rsidRPr="00143AB4" w:rsidRDefault="00D24A4B" w:rsidP="00D24A4B">
      <w:pPr>
        <w:pStyle w:val="Bullet1Double"/>
        <w:numPr>
          <w:ilvl w:val="0"/>
          <w:numId w:val="9"/>
        </w:numPr>
        <w:tabs>
          <w:tab w:val="clear" w:pos="0"/>
        </w:tabs>
        <w:ind w:left="360" w:hanging="360"/>
      </w:pPr>
      <w:r w:rsidRPr="00143AB4">
        <w:t>Security on HPE ProLiant for Microsoft Azure Stack is checked and guaranteed on three levels:</w:t>
      </w:r>
    </w:p>
    <w:p w14:paraId="47372926" w14:textId="77777777" w:rsidR="00D24A4B" w:rsidRPr="00143AB4" w:rsidRDefault="00D24A4B" w:rsidP="00D24A4B">
      <w:pPr>
        <w:pStyle w:val="Bullet2Double"/>
        <w:numPr>
          <w:ilvl w:val="0"/>
          <w:numId w:val="11"/>
        </w:numPr>
        <w:tabs>
          <w:tab w:val="clear" w:pos="360"/>
        </w:tabs>
        <w:ind w:left="720" w:hanging="360"/>
        <w:rPr>
          <w:lang w:val="en-GB"/>
        </w:rPr>
      </w:pPr>
      <w:r w:rsidRPr="00143AB4">
        <w:rPr>
          <w:b/>
          <w:bCs/>
          <w:lang w:val="en-GB"/>
        </w:rPr>
        <w:t>Protect</w:t>
      </w:r>
      <w:r w:rsidRPr="00143AB4">
        <w:rPr>
          <w:lang w:val="en-GB"/>
        </w:rPr>
        <w:t>—via HPE Silicon Root of Trust. Only HPE offers industry-standard servers with major firmware anchored directly into the silicon to ensure servers execute no compromised firmware code. The servers provide protection at every stage of supply chain to ensure the firmware has not been compromised.</w:t>
      </w:r>
    </w:p>
    <w:p w14:paraId="2A3268C7" w14:textId="77777777" w:rsidR="00D24A4B" w:rsidRPr="00143AB4" w:rsidRDefault="00D24A4B" w:rsidP="00D24A4B">
      <w:pPr>
        <w:pStyle w:val="Bullet2Double"/>
        <w:numPr>
          <w:ilvl w:val="0"/>
          <w:numId w:val="11"/>
        </w:numPr>
        <w:tabs>
          <w:tab w:val="clear" w:pos="360"/>
        </w:tabs>
        <w:ind w:left="720" w:hanging="360"/>
        <w:rPr>
          <w:lang w:val="en-GB"/>
        </w:rPr>
      </w:pPr>
      <w:r w:rsidRPr="00143AB4">
        <w:rPr>
          <w:b/>
          <w:bCs/>
          <w:lang w:val="en-GB"/>
        </w:rPr>
        <w:t>Detect</w:t>
      </w:r>
      <w:r w:rsidRPr="00143AB4">
        <w:rPr>
          <w:lang w:val="en-GB"/>
        </w:rPr>
        <w:t>—with Runtime Firmware Verification to verify the validity and credibility of essential system firmware. Detection of any compromised code or malware residing in monitored firmware is captured in an audit log and notification is sent directly to you.</w:t>
      </w:r>
    </w:p>
    <w:p w14:paraId="6AEA6931" w14:textId="77777777" w:rsidR="00D24A4B" w:rsidRPr="00143AB4" w:rsidRDefault="00D24A4B" w:rsidP="00D24A4B">
      <w:pPr>
        <w:pStyle w:val="Bullet2Double"/>
        <w:numPr>
          <w:ilvl w:val="0"/>
          <w:numId w:val="11"/>
        </w:numPr>
        <w:tabs>
          <w:tab w:val="clear" w:pos="360"/>
        </w:tabs>
        <w:ind w:left="720" w:hanging="360"/>
        <w:rPr>
          <w:lang w:val="en-GB"/>
        </w:rPr>
      </w:pPr>
      <w:r w:rsidRPr="00143AB4">
        <w:rPr>
          <w:b/>
          <w:bCs/>
          <w:lang w:val="en-GB"/>
        </w:rPr>
        <w:t>Recover</w:t>
      </w:r>
      <w:r w:rsidRPr="00143AB4">
        <w:rPr>
          <w:lang w:val="en-GB"/>
        </w:rPr>
        <w:t>—with Secure Recovery, enabling you to recover firmware to factory settings or the last-known good state. If you prefer, you can choose to not recover the server at all and take it offline after the compromised</w:t>
      </w:r>
      <w:r w:rsidRPr="00143AB4">
        <w:t xml:space="preserve"> </w:t>
      </w:r>
      <w:r w:rsidRPr="00143AB4">
        <w:rPr>
          <w:lang w:val="en-GB"/>
        </w:rPr>
        <w:t>code has been detected.</w:t>
      </w:r>
    </w:p>
    <w:p w14:paraId="3DD260E8" w14:textId="77777777" w:rsidR="00D24A4B" w:rsidRDefault="00D24A4B" w:rsidP="00D24A4B">
      <w:pPr>
        <w:pStyle w:val="Bullet1Double"/>
        <w:numPr>
          <w:ilvl w:val="0"/>
          <w:numId w:val="9"/>
        </w:numPr>
        <w:tabs>
          <w:tab w:val="clear" w:pos="0"/>
        </w:tabs>
        <w:ind w:left="360" w:hanging="360"/>
      </w:pPr>
      <w:r w:rsidRPr="00143AB4">
        <w:t>Unified billing and pay-as-you-go pricing for Microsoft Azure and Azure Stack services. With HPE Flexible Capacity, you can instantly scale up or down and manage usage with one contract, one invoice, and one portal</w:t>
      </w:r>
    </w:p>
    <w:p w14:paraId="4ADC7188" w14:textId="77777777" w:rsidR="00D24A4B" w:rsidRDefault="00D24A4B" w:rsidP="00D24A4B">
      <w:pPr>
        <w:pStyle w:val="FigureCaptionAuto"/>
        <w:ind w:left="432" w:hanging="432"/>
      </w:pPr>
      <w:r>
        <w:t>Azure Stack V1 Capabilities</w:t>
      </w:r>
    </w:p>
    <w:p w14:paraId="05FC52AA" w14:textId="77777777" w:rsidR="00D24A4B" w:rsidRPr="00143AB4" w:rsidRDefault="00D24A4B" w:rsidP="00D24A4B">
      <w:pPr>
        <w:tabs>
          <w:tab w:val="left" w:pos="360"/>
        </w:tabs>
        <w:spacing w:after="120" w:line="240" w:lineRule="auto"/>
        <w:ind w:left="360"/>
        <w:jc w:val="center"/>
        <w:rPr>
          <w:rFonts w:ascii="Arial" w:eastAsia="PMingLiU" w:hAnsi="Arial" w:cs="Times New Roman"/>
          <w:color w:val="000000"/>
          <w:szCs w:val="20"/>
        </w:rPr>
      </w:pPr>
      <w:r>
        <w:rPr>
          <w:rFonts w:ascii="Arial" w:eastAsia="PMingLiU" w:hAnsi="Arial" w:cs="Times New Roman"/>
          <w:noProof/>
          <w:color w:val="000000"/>
          <w:szCs w:val="20"/>
          <w:lang w:val="en-GB" w:eastAsia="en-GB"/>
        </w:rPr>
        <w:drawing>
          <wp:inline distT="0" distB="0" distL="0" distR="0" wp14:anchorId="51DEBD02" wp14:editId="6905CFB7">
            <wp:extent cx="4943475" cy="2673763"/>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230E599.tmp"/>
                    <pic:cNvPicPr/>
                  </pic:nvPicPr>
                  <pic:blipFill>
                    <a:blip r:embed="rId17">
                      <a:extLst>
                        <a:ext uri="{28A0092B-C50C-407E-A947-70E740481C1C}">
                          <a14:useLocalDpi xmlns:a14="http://schemas.microsoft.com/office/drawing/2010/main" val="0"/>
                        </a:ext>
                      </a:extLst>
                    </a:blip>
                    <a:stretch>
                      <a:fillRect/>
                    </a:stretch>
                  </pic:blipFill>
                  <pic:spPr>
                    <a:xfrm>
                      <a:off x="0" y="0"/>
                      <a:ext cx="4953793" cy="2679344"/>
                    </a:xfrm>
                    <a:prstGeom prst="rect">
                      <a:avLst/>
                    </a:prstGeom>
                  </pic:spPr>
                </pic:pic>
              </a:graphicData>
            </a:graphic>
          </wp:inline>
        </w:drawing>
      </w:r>
    </w:p>
    <w:p w14:paraId="3BFBF895" w14:textId="77777777" w:rsidR="00D24A4B" w:rsidRPr="00143AB4" w:rsidRDefault="00D24A4B" w:rsidP="00D24A4B">
      <w:pPr>
        <w:pStyle w:val="Heading50"/>
      </w:pPr>
      <w:r w:rsidRPr="00143AB4">
        <w:t>A True Hybrid Cloud with Portability</w:t>
      </w:r>
    </w:p>
    <w:p w14:paraId="4C7C4824" w14:textId="77777777" w:rsidR="00D24A4B" w:rsidRPr="00143AB4" w:rsidRDefault="00D24A4B" w:rsidP="00D24A4B">
      <w:pPr>
        <w:spacing w:after="120" w:line="240" w:lineRule="auto"/>
        <w:rPr>
          <w:rFonts w:ascii="Arial" w:eastAsia="PMingLiU" w:hAnsi="Arial" w:cs="Times New Roman"/>
          <w:color w:val="000000"/>
          <w:szCs w:val="20"/>
        </w:rPr>
      </w:pPr>
      <w:r w:rsidRPr="00143AB4">
        <w:rPr>
          <w:rFonts w:ascii="Arial" w:eastAsia="PMingLiU" w:hAnsi="Arial" w:cs="Times New Roman"/>
          <w:color w:val="000000"/>
          <w:szCs w:val="20"/>
        </w:rPr>
        <w:t xml:space="preserve">The HPE GreenLake ProLiant for Microsoft Azure Stack solution offers the architectural flexibility to optimize cost and meet SLAs by delivering IaaS and PaaS capability to run virtualized and cloud-native apps at cloud scale using a single management model. Applications can be developed, deployed and ported between Azure Stack private cloud and Azure public </w:t>
      </w:r>
      <w:r>
        <w:rPr>
          <w:rFonts w:ascii="Arial" w:eastAsia="PMingLiU" w:hAnsi="Arial" w:cs="Times New Roman"/>
          <w:color w:val="000000"/>
          <w:szCs w:val="20"/>
        </w:rPr>
        <w:t xml:space="preserve">or government </w:t>
      </w:r>
      <w:r w:rsidRPr="00143AB4">
        <w:rPr>
          <w:rFonts w:ascii="Arial" w:eastAsia="PMingLiU" w:hAnsi="Arial" w:cs="Times New Roman"/>
          <w:color w:val="000000"/>
          <w:szCs w:val="20"/>
        </w:rPr>
        <w:t xml:space="preserve">cloud to meet changing business needs. For example, organizations that need geographically distributed data centers with global redundancy for hosting public-facing cloud apps can leverage Azure public cloud. While for dev/test they may require variable capacity in a few specific locations to complete different development </w:t>
      </w:r>
      <w:r w:rsidRPr="00143AB4">
        <w:rPr>
          <w:rFonts w:ascii="Arial" w:eastAsia="PMingLiU" w:hAnsi="Arial" w:cs="Times New Roman"/>
          <w:color w:val="000000"/>
          <w:szCs w:val="20"/>
        </w:rPr>
        <w:lastRenderedPageBreak/>
        <w:t xml:space="preserve">phases, such as code compilation and processing. The solution provides complete control over the physical location and reallocation of capacity with just a few clicks in addition to seamless workload migration across Azure hybrid cloud. </w:t>
      </w:r>
    </w:p>
    <w:p w14:paraId="56E86904" w14:textId="77777777" w:rsidR="00D24A4B" w:rsidRPr="00143AB4" w:rsidRDefault="00D24A4B" w:rsidP="00D24A4B">
      <w:pPr>
        <w:spacing w:after="120" w:line="240" w:lineRule="auto"/>
        <w:rPr>
          <w:rFonts w:ascii="Arial" w:eastAsia="PMingLiU" w:hAnsi="Arial" w:cs="Times New Roman"/>
          <w:color w:val="000000"/>
          <w:szCs w:val="20"/>
        </w:rPr>
      </w:pPr>
      <w:r w:rsidRPr="00143AB4">
        <w:rPr>
          <w:rFonts w:ascii="Arial" w:eastAsia="PMingLiU" w:hAnsi="Arial" w:cs="Times New Roman"/>
          <w:color w:val="000000"/>
          <w:szCs w:val="20"/>
        </w:rPr>
        <w:t>Additionally, the ProLiant DL380 server, known for industry-leading energy efficiency, further improves your ROI.</w:t>
      </w:r>
    </w:p>
    <w:p w14:paraId="2D11936C" w14:textId="77777777" w:rsidR="00D24A4B" w:rsidRPr="00143AB4" w:rsidRDefault="00D24A4B" w:rsidP="00D24A4B">
      <w:pPr>
        <w:pStyle w:val="FigureCaptionAuto"/>
        <w:ind w:left="432" w:hanging="432"/>
      </w:pPr>
      <w:r w:rsidRPr="00143AB4">
        <w:t>Azure Services on Azure Stack: PaaS and IaaS</w:t>
      </w:r>
    </w:p>
    <w:p w14:paraId="16516F54" w14:textId="77777777" w:rsidR="00D24A4B" w:rsidRPr="00143AB4" w:rsidRDefault="00D24A4B" w:rsidP="00D24A4B">
      <w:pPr>
        <w:spacing w:after="120" w:line="240" w:lineRule="auto"/>
        <w:rPr>
          <w:rFonts w:ascii="Arial" w:eastAsia="PMingLiU" w:hAnsi="Arial" w:cs="Times New Roman"/>
          <w:color w:val="000000"/>
          <w:szCs w:val="20"/>
        </w:rPr>
      </w:pPr>
      <w:r w:rsidRPr="00143AB4">
        <w:rPr>
          <w:rFonts w:ascii="Arial" w:eastAsia="PMingLiU" w:hAnsi="Arial" w:cs="Times New Roman"/>
          <w:noProof/>
          <w:color w:val="000000"/>
          <w:szCs w:val="20"/>
          <w:lang w:val="en-GB" w:eastAsia="en-GB"/>
        </w:rPr>
        <w:drawing>
          <wp:inline distT="0" distB="0" distL="0" distR="0" wp14:anchorId="1EFE8A8E" wp14:editId="261632B8">
            <wp:extent cx="5678971" cy="2566035"/>
            <wp:effectExtent l="0" t="0" r="0" b="571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03962" cy="2577327"/>
                    </a:xfrm>
                    <a:prstGeom prst="rect">
                      <a:avLst/>
                    </a:prstGeom>
                    <a:noFill/>
                  </pic:spPr>
                </pic:pic>
              </a:graphicData>
            </a:graphic>
          </wp:inline>
        </w:drawing>
      </w:r>
    </w:p>
    <w:p w14:paraId="4D289BDE" w14:textId="77777777" w:rsidR="00D24A4B" w:rsidRPr="00143AB4" w:rsidRDefault="00D24A4B" w:rsidP="00D24A4B">
      <w:pPr>
        <w:pStyle w:val="Heading50"/>
      </w:pPr>
      <w:r w:rsidRPr="00143AB4">
        <w:t>Move to the Cloud with Confidence</w:t>
      </w:r>
    </w:p>
    <w:p w14:paraId="29F06FE3" w14:textId="77777777" w:rsidR="00D24A4B" w:rsidRPr="00143AB4" w:rsidRDefault="00D24A4B" w:rsidP="00D24A4B">
      <w:pPr>
        <w:spacing w:after="120" w:line="240" w:lineRule="auto"/>
        <w:rPr>
          <w:rFonts w:ascii="Arial" w:eastAsia="PMingLiU" w:hAnsi="Arial" w:cs="Times New Roman"/>
          <w:color w:val="000000"/>
          <w:szCs w:val="20"/>
        </w:rPr>
      </w:pPr>
      <w:r w:rsidRPr="00143AB4">
        <w:rPr>
          <w:rFonts w:ascii="Arial" w:eastAsia="PMingLiU" w:hAnsi="Arial" w:cs="Times New Roman"/>
          <w:color w:val="000000"/>
          <w:szCs w:val="20"/>
        </w:rPr>
        <w:t xml:space="preserve">Microsoft is the second largest cloud provider by market share and it offers a broad set of IaaS and PaaS services through Azure, while </w:t>
      </w:r>
      <w:r>
        <w:rPr>
          <w:rFonts w:ascii="Arial" w:eastAsia="PMingLiU" w:hAnsi="Arial" w:cs="Times New Roman"/>
          <w:color w:val="000000"/>
          <w:szCs w:val="20"/>
        </w:rPr>
        <w:t>HPE</w:t>
      </w:r>
      <w:r w:rsidRPr="00143AB4">
        <w:rPr>
          <w:rFonts w:ascii="Arial" w:eastAsia="PMingLiU" w:hAnsi="Arial" w:cs="Times New Roman"/>
          <w:color w:val="000000"/>
          <w:szCs w:val="20"/>
        </w:rPr>
        <w:t xml:space="preserve"> and its partners provide implementation, consulting and education services to assist with adoption, design, and usage. This lets you select your Right Mix of hybrid IT across private and public clouds, and traditional IT.</w:t>
      </w:r>
    </w:p>
    <w:p w14:paraId="080121F3" w14:textId="77777777" w:rsidR="00D24A4B" w:rsidRPr="00143AB4" w:rsidRDefault="00D24A4B" w:rsidP="00D24A4B">
      <w:pPr>
        <w:pStyle w:val="Heading50"/>
      </w:pPr>
      <w:r w:rsidRPr="00143AB4">
        <w:t xml:space="preserve">Microsoft Azure </w:t>
      </w:r>
    </w:p>
    <w:p w14:paraId="2E800985" w14:textId="77777777" w:rsidR="00D24A4B" w:rsidRDefault="00D24A4B" w:rsidP="00D24A4B">
      <w:pPr>
        <w:spacing w:after="120" w:line="240" w:lineRule="auto"/>
        <w:rPr>
          <w:rFonts w:ascii="Arial" w:eastAsia="Arial" w:hAnsi="Arial" w:cs="Arial"/>
          <w:color w:val="000000"/>
          <w:szCs w:val="20"/>
        </w:rPr>
      </w:pPr>
      <w:r w:rsidRPr="00143AB4">
        <w:rPr>
          <w:rFonts w:ascii="Arial" w:eastAsia="Arial" w:hAnsi="Arial" w:cs="Arial"/>
          <w:color w:val="000000"/>
          <w:szCs w:val="20"/>
        </w:rPr>
        <w:t>HPE and Microsoft have teamed up to offer Microsoft Azure for public and hybrid cloud services</w:t>
      </w:r>
      <w:r>
        <w:rPr>
          <w:rFonts w:ascii="Arial" w:eastAsia="Arial" w:hAnsi="Arial" w:cs="Arial"/>
          <w:color w:val="000000"/>
          <w:szCs w:val="20"/>
        </w:rPr>
        <w:t xml:space="preserve">. </w:t>
      </w:r>
      <w:r w:rsidRPr="00143AB4">
        <w:rPr>
          <w:rFonts w:ascii="Arial" w:eastAsia="Arial" w:hAnsi="Arial" w:cs="Arial"/>
          <w:color w:val="000000"/>
          <w:szCs w:val="20"/>
        </w:rPr>
        <w:t>HPE and Microsoft have worked together for over 30 years to combine our respective strengths and deliver innovative technologies, services, and support that help customers transform their business</w:t>
      </w:r>
      <w:r>
        <w:rPr>
          <w:rFonts w:ascii="Arial" w:eastAsia="Arial" w:hAnsi="Arial" w:cs="Arial"/>
          <w:color w:val="000000"/>
          <w:szCs w:val="20"/>
        </w:rPr>
        <w:t xml:space="preserve">. </w:t>
      </w:r>
      <w:r w:rsidRPr="00143AB4">
        <w:rPr>
          <w:rFonts w:ascii="Arial" w:eastAsia="Arial" w:hAnsi="Arial" w:cs="Arial"/>
          <w:color w:val="000000"/>
          <w:szCs w:val="20"/>
        </w:rPr>
        <w:t>As part of this partnership, HPE is a certified Microsoft Cloud Solution Provider (CSP), which enables HPE to deliver and support the Azure platform and services for HPE’s customers</w:t>
      </w:r>
      <w:r>
        <w:rPr>
          <w:rFonts w:ascii="Arial" w:eastAsia="Arial" w:hAnsi="Arial" w:cs="Arial"/>
          <w:color w:val="000000"/>
          <w:szCs w:val="20"/>
        </w:rPr>
        <w:t xml:space="preserve">. </w:t>
      </w:r>
    </w:p>
    <w:p w14:paraId="00FA0D89" w14:textId="77777777" w:rsidR="00D24A4B" w:rsidRDefault="00D24A4B" w:rsidP="00D24A4B">
      <w:pPr>
        <w:spacing w:after="0" w:line="240" w:lineRule="auto"/>
        <w:rPr>
          <w:rFonts w:ascii="Arial" w:eastAsia="Arial" w:hAnsi="Arial" w:cs="Arial"/>
          <w:color w:val="000000"/>
          <w:szCs w:val="20"/>
        </w:rPr>
      </w:pPr>
      <w:r>
        <w:rPr>
          <w:rFonts w:ascii="Arial" w:eastAsia="Arial" w:hAnsi="Arial" w:cs="Arial"/>
          <w:color w:val="000000"/>
          <w:szCs w:val="20"/>
        </w:rPr>
        <w:br w:type="page"/>
      </w:r>
    </w:p>
    <w:p w14:paraId="13E5E88F" w14:textId="77777777" w:rsidR="00D24A4B" w:rsidRPr="00143AB4" w:rsidRDefault="00D24A4B" w:rsidP="00D24A4B">
      <w:pPr>
        <w:pStyle w:val="FigureCaptionAuto"/>
        <w:ind w:left="432" w:hanging="432"/>
      </w:pPr>
      <w:r>
        <w:lastRenderedPageBreak/>
        <w:t>Single V</w:t>
      </w:r>
      <w:r w:rsidRPr="00143AB4">
        <w:t xml:space="preserve">endor </w:t>
      </w:r>
      <w:r>
        <w:t>S</w:t>
      </w:r>
      <w:r w:rsidRPr="00143AB4">
        <w:t>olution</w:t>
      </w:r>
    </w:p>
    <w:p w14:paraId="76177ABB" w14:textId="77777777" w:rsidR="00D24A4B" w:rsidRPr="00143AB4" w:rsidRDefault="00D24A4B" w:rsidP="00D24A4B">
      <w:pPr>
        <w:spacing w:after="120" w:line="240" w:lineRule="auto"/>
        <w:rPr>
          <w:rFonts w:ascii="Arial" w:eastAsia="PMingLiU" w:hAnsi="Arial" w:cs="Times New Roman"/>
          <w:color w:val="000000"/>
          <w:szCs w:val="20"/>
        </w:rPr>
      </w:pPr>
      <w:r w:rsidRPr="00143AB4">
        <w:rPr>
          <w:rFonts w:ascii="Arial" w:eastAsia="PMingLiU" w:hAnsi="Arial" w:cs="Times New Roman"/>
          <w:noProof/>
          <w:color w:val="000000"/>
          <w:szCs w:val="20"/>
          <w:lang w:val="en-GB" w:eastAsia="en-GB"/>
        </w:rPr>
        <mc:AlternateContent>
          <mc:Choice Requires="wpg">
            <w:drawing>
              <wp:anchor distT="0" distB="0" distL="114300" distR="114300" simplePos="0" relativeHeight="251675648" behindDoc="0" locked="0" layoutInCell="1" allowOverlap="1" wp14:anchorId="3CA47B1C" wp14:editId="0D13B8D7">
                <wp:simplePos x="0" y="0"/>
                <wp:positionH relativeFrom="column">
                  <wp:posOffset>1929765</wp:posOffset>
                </wp:positionH>
                <wp:positionV relativeFrom="paragraph">
                  <wp:posOffset>258445</wp:posOffset>
                </wp:positionV>
                <wp:extent cx="1066800" cy="226695"/>
                <wp:effectExtent l="0" t="0" r="0" b="1905"/>
                <wp:wrapNone/>
                <wp:docPr id="23" name="Group 71"/>
                <wp:cNvGraphicFramePr/>
                <a:graphic xmlns:a="http://schemas.openxmlformats.org/drawingml/2006/main">
                  <a:graphicData uri="http://schemas.microsoft.com/office/word/2010/wordprocessingGroup">
                    <wpg:wgp>
                      <wpg:cNvGrpSpPr/>
                      <wpg:grpSpPr>
                        <a:xfrm>
                          <a:off x="0" y="0"/>
                          <a:ext cx="1066800" cy="226695"/>
                          <a:chOff x="863412" y="259361"/>
                          <a:chExt cx="3987800" cy="847726"/>
                        </a:xfrm>
                      </wpg:grpSpPr>
                      <wps:wsp>
                        <wps:cNvPr id="24" name="Freeform 24"/>
                        <wps:cNvSpPr>
                          <a:spLocks/>
                        </wps:cNvSpPr>
                        <wps:spPr bwMode="auto">
                          <a:xfrm>
                            <a:off x="1969900" y="430811"/>
                            <a:ext cx="552450" cy="508000"/>
                          </a:xfrm>
                          <a:custGeom>
                            <a:avLst/>
                            <a:gdLst>
                              <a:gd name="T0" fmla="*/ 190 w 348"/>
                              <a:gd name="T1" fmla="*/ 201 h 320"/>
                              <a:gd name="T2" fmla="*/ 174 w 348"/>
                              <a:gd name="T3" fmla="*/ 243 h 320"/>
                              <a:gd name="T4" fmla="*/ 174 w 348"/>
                              <a:gd name="T5" fmla="*/ 243 h 320"/>
                              <a:gd name="T6" fmla="*/ 174 w 348"/>
                              <a:gd name="T7" fmla="*/ 243 h 320"/>
                              <a:gd name="T8" fmla="*/ 168 w 348"/>
                              <a:gd name="T9" fmla="*/ 225 h 320"/>
                              <a:gd name="T10" fmla="*/ 160 w 348"/>
                              <a:gd name="T11" fmla="*/ 201 h 320"/>
                              <a:gd name="T12" fmla="*/ 78 w 348"/>
                              <a:gd name="T13" fmla="*/ 0 h 320"/>
                              <a:gd name="T14" fmla="*/ 0 w 348"/>
                              <a:gd name="T15" fmla="*/ 0 h 320"/>
                              <a:gd name="T16" fmla="*/ 0 w 348"/>
                              <a:gd name="T17" fmla="*/ 320 h 320"/>
                              <a:gd name="T18" fmla="*/ 52 w 348"/>
                              <a:gd name="T19" fmla="*/ 320 h 320"/>
                              <a:gd name="T20" fmla="*/ 52 w 348"/>
                              <a:gd name="T21" fmla="*/ 123 h 320"/>
                              <a:gd name="T22" fmla="*/ 52 w 348"/>
                              <a:gd name="T23" fmla="*/ 123 h 320"/>
                              <a:gd name="T24" fmla="*/ 52 w 348"/>
                              <a:gd name="T25" fmla="*/ 79 h 320"/>
                              <a:gd name="T26" fmla="*/ 52 w 348"/>
                              <a:gd name="T27" fmla="*/ 79 h 320"/>
                              <a:gd name="T28" fmla="*/ 50 w 348"/>
                              <a:gd name="T29" fmla="*/ 57 h 320"/>
                              <a:gd name="T30" fmla="*/ 50 w 348"/>
                              <a:gd name="T31" fmla="*/ 57 h 320"/>
                              <a:gd name="T32" fmla="*/ 50 w 348"/>
                              <a:gd name="T33" fmla="*/ 57 h 320"/>
                              <a:gd name="T34" fmla="*/ 58 w 348"/>
                              <a:gd name="T35" fmla="*/ 85 h 320"/>
                              <a:gd name="T36" fmla="*/ 154 w 348"/>
                              <a:gd name="T37" fmla="*/ 320 h 320"/>
                              <a:gd name="T38" fmla="*/ 192 w 348"/>
                              <a:gd name="T39" fmla="*/ 320 h 320"/>
                              <a:gd name="T40" fmla="*/ 288 w 348"/>
                              <a:gd name="T41" fmla="*/ 83 h 320"/>
                              <a:gd name="T42" fmla="*/ 288 w 348"/>
                              <a:gd name="T43" fmla="*/ 83 h 320"/>
                              <a:gd name="T44" fmla="*/ 294 w 348"/>
                              <a:gd name="T45" fmla="*/ 57 h 320"/>
                              <a:gd name="T46" fmla="*/ 296 w 348"/>
                              <a:gd name="T47" fmla="*/ 57 h 320"/>
                              <a:gd name="T48" fmla="*/ 296 w 348"/>
                              <a:gd name="T49" fmla="*/ 57 h 320"/>
                              <a:gd name="T50" fmla="*/ 292 w 348"/>
                              <a:gd name="T51" fmla="*/ 115 h 320"/>
                              <a:gd name="T52" fmla="*/ 292 w 348"/>
                              <a:gd name="T53" fmla="*/ 320 h 320"/>
                              <a:gd name="T54" fmla="*/ 348 w 348"/>
                              <a:gd name="T55" fmla="*/ 320 h 320"/>
                              <a:gd name="T56" fmla="*/ 348 w 348"/>
                              <a:gd name="T57" fmla="*/ 0 h 320"/>
                              <a:gd name="T58" fmla="*/ 272 w 348"/>
                              <a:gd name="T59" fmla="*/ 0 h 320"/>
                              <a:gd name="T60" fmla="*/ 190 w 348"/>
                              <a:gd name="T61" fmla="*/ 201 h 3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8" h="320">
                                <a:moveTo>
                                  <a:pt x="190" y="201"/>
                                </a:moveTo>
                                <a:lnTo>
                                  <a:pt x="174" y="243"/>
                                </a:lnTo>
                                <a:lnTo>
                                  <a:pt x="174" y="243"/>
                                </a:lnTo>
                                <a:lnTo>
                                  <a:pt x="174" y="243"/>
                                </a:lnTo>
                                <a:lnTo>
                                  <a:pt x="168" y="225"/>
                                </a:lnTo>
                                <a:lnTo>
                                  <a:pt x="160" y="201"/>
                                </a:lnTo>
                                <a:lnTo>
                                  <a:pt x="78" y="0"/>
                                </a:lnTo>
                                <a:lnTo>
                                  <a:pt x="0" y="0"/>
                                </a:lnTo>
                                <a:lnTo>
                                  <a:pt x="0" y="320"/>
                                </a:lnTo>
                                <a:lnTo>
                                  <a:pt x="52" y="320"/>
                                </a:lnTo>
                                <a:lnTo>
                                  <a:pt x="52" y="123"/>
                                </a:lnTo>
                                <a:lnTo>
                                  <a:pt x="52" y="123"/>
                                </a:lnTo>
                                <a:lnTo>
                                  <a:pt x="52" y="79"/>
                                </a:lnTo>
                                <a:lnTo>
                                  <a:pt x="52" y="79"/>
                                </a:lnTo>
                                <a:lnTo>
                                  <a:pt x="50" y="57"/>
                                </a:lnTo>
                                <a:lnTo>
                                  <a:pt x="50" y="57"/>
                                </a:lnTo>
                                <a:lnTo>
                                  <a:pt x="50" y="57"/>
                                </a:lnTo>
                                <a:lnTo>
                                  <a:pt x="58" y="85"/>
                                </a:lnTo>
                                <a:lnTo>
                                  <a:pt x="154" y="320"/>
                                </a:lnTo>
                                <a:lnTo>
                                  <a:pt x="192" y="320"/>
                                </a:lnTo>
                                <a:lnTo>
                                  <a:pt x="288" y="83"/>
                                </a:lnTo>
                                <a:lnTo>
                                  <a:pt x="288" y="83"/>
                                </a:lnTo>
                                <a:lnTo>
                                  <a:pt x="294" y="57"/>
                                </a:lnTo>
                                <a:lnTo>
                                  <a:pt x="296" y="57"/>
                                </a:lnTo>
                                <a:lnTo>
                                  <a:pt x="296" y="57"/>
                                </a:lnTo>
                                <a:lnTo>
                                  <a:pt x="292" y="115"/>
                                </a:lnTo>
                                <a:lnTo>
                                  <a:pt x="292" y="320"/>
                                </a:lnTo>
                                <a:lnTo>
                                  <a:pt x="348" y="320"/>
                                </a:lnTo>
                                <a:lnTo>
                                  <a:pt x="348" y="0"/>
                                </a:lnTo>
                                <a:lnTo>
                                  <a:pt x="272" y="0"/>
                                </a:lnTo>
                                <a:lnTo>
                                  <a:pt x="190" y="201"/>
                                </a:lnTo>
                                <a:close/>
                              </a:path>
                            </a:pathLst>
                          </a:custGeom>
                          <a:solidFill>
                            <a:srgbClr val="747474"/>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5" name="Rectangle 25"/>
                        <wps:cNvSpPr>
                          <a:spLocks noChangeArrowheads="1"/>
                        </wps:cNvSpPr>
                        <wps:spPr bwMode="auto">
                          <a:xfrm>
                            <a:off x="2604900" y="572099"/>
                            <a:ext cx="85725" cy="366713"/>
                          </a:xfrm>
                          <a:prstGeom prst="rect">
                            <a:avLst/>
                          </a:prstGeom>
                          <a:solidFill>
                            <a:srgbClr val="747474"/>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28" name="Freeform 28"/>
                        <wps:cNvSpPr>
                          <a:spLocks/>
                        </wps:cNvSpPr>
                        <wps:spPr bwMode="auto">
                          <a:xfrm>
                            <a:off x="2598550" y="418111"/>
                            <a:ext cx="104775" cy="100013"/>
                          </a:xfrm>
                          <a:custGeom>
                            <a:avLst/>
                            <a:gdLst>
                              <a:gd name="T0" fmla="*/ 32 w 66"/>
                              <a:gd name="T1" fmla="*/ 0 h 63"/>
                              <a:gd name="T2" fmla="*/ 32 w 66"/>
                              <a:gd name="T3" fmla="*/ 0 h 63"/>
                              <a:gd name="T4" fmla="*/ 26 w 66"/>
                              <a:gd name="T5" fmla="*/ 2 h 63"/>
                              <a:gd name="T6" fmla="*/ 20 w 66"/>
                              <a:gd name="T7" fmla="*/ 2 h 63"/>
                              <a:gd name="T8" fmla="*/ 14 w 66"/>
                              <a:gd name="T9" fmla="*/ 6 h 63"/>
                              <a:gd name="T10" fmla="*/ 8 w 66"/>
                              <a:gd name="T11" fmla="*/ 10 h 63"/>
                              <a:gd name="T12" fmla="*/ 8 w 66"/>
                              <a:gd name="T13" fmla="*/ 10 h 63"/>
                              <a:gd name="T14" fmla="*/ 4 w 66"/>
                              <a:gd name="T15" fmla="*/ 14 h 63"/>
                              <a:gd name="T16" fmla="*/ 2 w 66"/>
                              <a:gd name="T17" fmla="*/ 20 h 63"/>
                              <a:gd name="T18" fmla="*/ 0 w 66"/>
                              <a:gd name="T19" fmla="*/ 26 h 63"/>
                              <a:gd name="T20" fmla="*/ 0 w 66"/>
                              <a:gd name="T21" fmla="*/ 32 h 63"/>
                              <a:gd name="T22" fmla="*/ 0 w 66"/>
                              <a:gd name="T23" fmla="*/ 32 h 63"/>
                              <a:gd name="T24" fmla="*/ 0 w 66"/>
                              <a:gd name="T25" fmla="*/ 37 h 63"/>
                              <a:gd name="T26" fmla="*/ 2 w 66"/>
                              <a:gd name="T27" fmla="*/ 43 h 63"/>
                              <a:gd name="T28" fmla="*/ 4 w 66"/>
                              <a:gd name="T29" fmla="*/ 49 h 63"/>
                              <a:gd name="T30" fmla="*/ 8 w 66"/>
                              <a:gd name="T31" fmla="*/ 53 h 63"/>
                              <a:gd name="T32" fmla="*/ 8 w 66"/>
                              <a:gd name="T33" fmla="*/ 53 h 63"/>
                              <a:gd name="T34" fmla="*/ 14 w 66"/>
                              <a:gd name="T35" fmla="*/ 57 h 63"/>
                              <a:gd name="T36" fmla="*/ 20 w 66"/>
                              <a:gd name="T37" fmla="*/ 61 h 63"/>
                              <a:gd name="T38" fmla="*/ 32 w 66"/>
                              <a:gd name="T39" fmla="*/ 63 h 63"/>
                              <a:gd name="T40" fmla="*/ 32 w 66"/>
                              <a:gd name="T41" fmla="*/ 63 h 63"/>
                              <a:gd name="T42" fmla="*/ 44 w 66"/>
                              <a:gd name="T43" fmla="*/ 61 h 63"/>
                              <a:gd name="T44" fmla="*/ 50 w 66"/>
                              <a:gd name="T45" fmla="*/ 57 h 63"/>
                              <a:gd name="T46" fmla="*/ 56 w 66"/>
                              <a:gd name="T47" fmla="*/ 53 h 63"/>
                              <a:gd name="T48" fmla="*/ 56 w 66"/>
                              <a:gd name="T49" fmla="*/ 53 h 63"/>
                              <a:gd name="T50" fmla="*/ 60 w 66"/>
                              <a:gd name="T51" fmla="*/ 49 h 63"/>
                              <a:gd name="T52" fmla="*/ 62 w 66"/>
                              <a:gd name="T53" fmla="*/ 43 h 63"/>
                              <a:gd name="T54" fmla="*/ 64 w 66"/>
                              <a:gd name="T55" fmla="*/ 37 h 63"/>
                              <a:gd name="T56" fmla="*/ 66 w 66"/>
                              <a:gd name="T57" fmla="*/ 32 h 63"/>
                              <a:gd name="T58" fmla="*/ 66 w 66"/>
                              <a:gd name="T59" fmla="*/ 32 h 63"/>
                              <a:gd name="T60" fmla="*/ 64 w 66"/>
                              <a:gd name="T61" fmla="*/ 26 h 63"/>
                              <a:gd name="T62" fmla="*/ 62 w 66"/>
                              <a:gd name="T63" fmla="*/ 20 h 63"/>
                              <a:gd name="T64" fmla="*/ 60 w 66"/>
                              <a:gd name="T65" fmla="*/ 14 h 63"/>
                              <a:gd name="T66" fmla="*/ 56 w 66"/>
                              <a:gd name="T67" fmla="*/ 10 h 63"/>
                              <a:gd name="T68" fmla="*/ 56 w 66"/>
                              <a:gd name="T69" fmla="*/ 10 h 63"/>
                              <a:gd name="T70" fmla="*/ 50 w 66"/>
                              <a:gd name="T71" fmla="*/ 6 h 63"/>
                              <a:gd name="T72" fmla="*/ 44 w 66"/>
                              <a:gd name="T73" fmla="*/ 2 h 63"/>
                              <a:gd name="T74" fmla="*/ 38 w 66"/>
                              <a:gd name="T75" fmla="*/ 2 h 63"/>
                              <a:gd name="T76" fmla="*/ 32 w 66"/>
                              <a:gd name="T77" fmla="*/ 0 h 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66" h="63">
                                <a:moveTo>
                                  <a:pt x="32" y="0"/>
                                </a:moveTo>
                                <a:lnTo>
                                  <a:pt x="32" y="0"/>
                                </a:lnTo>
                                <a:lnTo>
                                  <a:pt x="26" y="2"/>
                                </a:lnTo>
                                <a:lnTo>
                                  <a:pt x="20" y="2"/>
                                </a:lnTo>
                                <a:lnTo>
                                  <a:pt x="14" y="6"/>
                                </a:lnTo>
                                <a:lnTo>
                                  <a:pt x="8" y="10"/>
                                </a:lnTo>
                                <a:lnTo>
                                  <a:pt x="8" y="10"/>
                                </a:lnTo>
                                <a:lnTo>
                                  <a:pt x="4" y="14"/>
                                </a:lnTo>
                                <a:lnTo>
                                  <a:pt x="2" y="20"/>
                                </a:lnTo>
                                <a:lnTo>
                                  <a:pt x="0" y="26"/>
                                </a:lnTo>
                                <a:lnTo>
                                  <a:pt x="0" y="32"/>
                                </a:lnTo>
                                <a:lnTo>
                                  <a:pt x="0" y="32"/>
                                </a:lnTo>
                                <a:lnTo>
                                  <a:pt x="0" y="37"/>
                                </a:lnTo>
                                <a:lnTo>
                                  <a:pt x="2" y="43"/>
                                </a:lnTo>
                                <a:lnTo>
                                  <a:pt x="4" y="49"/>
                                </a:lnTo>
                                <a:lnTo>
                                  <a:pt x="8" y="53"/>
                                </a:lnTo>
                                <a:lnTo>
                                  <a:pt x="8" y="53"/>
                                </a:lnTo>
                                <a:lnTo>
                                  <a:pt x="14" y="57"/>
                                </a:lnTo>
                                <a:lnTo>
                                  <a:pt x="20" y="61"/>
                                </a:lnTo>
                                <a:lnTo>
                                  <a:pt x="32" y="63"/>
                                </a:lnTo>
                                <a:lnTo>
                                  <a:pt x="32" y="63"/>
                                </a:lnTo>
                                <a:lnTo>
                                  <a:pt x="44" y="61"/>
                                </a:lnTo>
                                <a:lnTo>
                                  <a:pt x="50" y="57"/>
                                </a:lnTo>
                                <a:lnTo>
                                  <a:pt x="56" y="53"/>
                                </a:lnTo>
                                <a:lnTo>
                                  <a:pt x="56" y="53"/>
                                </a:lnTo>
                                <a:lnTo>
                                  <a:pt x="60" y="49"/>
                                </a:lnTo>
                                <a:lnTo>
                                  <a:pt x="62" y="43"/>
                                </a:lnTo>
                                <a:lnTo>
                                  <a:pt x="64" y="37"/>
                                </a:lnTo>
                                <a:lnTo>
                                  <a:pt x="66" y="32"/>
                                </a:lnTo>
                                <a:lnTo>
                                  <a:pt x="66" y="32"/>
                                </a:lnTo>
                                <a:lnTo>
                                  <a:pt x="64" y="26"/>
                                </a:lnTo>
                                <a:lnTo>
                                  <a:pt x="62" y="20"/>
                                </a:lnTo>
                                <a:lnTo>
                                  <a:pt x="60" y="14"/>
                                </a:lnTo>
                                <a:lnTo>
                                  <a:pt x="56" y="10"/>
                                </a:lnTo>
                                <a:lnTo>
                                  <a:pt x="56" y="10"/>
                                </a:lnTo>
                                <a:lnTo>
                                  <a:pt x="50" y="6"/>
                                </a:lnTo>
                                <a:lnTo>
                                  <a:pt x="44" y="2"/>
                                </a:lnTo>
                                <a:lnTo>
                                  <a:pt x="38" y="2"/>
                                </a:lnTo>
                                <a:lnTo>
                                  <a:pt x="32" y="0"/>
                                </a:lnTo>
                                <a:close/>
                              </a:path>
                            </a:pathLst>
                          </a:custGeom>
                          <a:solidFill>
                            <a:srgbClr val="747474"/>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9" name="Freeform 29"/>
                        <wps:cNvSpPr>
                          <a:spLocks/>
                        </wps:cNvSpPr>
                        <wps:spPr bwMode="auto">
                          <a:xfrm>
                            <a:off x="2598550" y="418111"/>
                            <a:ext cx="104775" cy="100013"/>
                          </a:xfrm>
                          <a:custGeom>
                            <a:avLst/>
                            <a:gdLst>
                              <a:gd name="T0" fmla="*/ 32 w 66"/>
                              <a:gd name="T1" fmla="*/ 0 h 63"/>
                              <a:gd name="T2" fmla="*/ 32 w 66"/>
                              <a:gd name="T3" fmla="*/ 0 h 63"/>
                              <a:gd name="T4" fmla="*/ 26 w 66"/>
                              <a:gd name="T5" fmla="*/ 2 h 63"/>
                              <a:gd name="T6" fmla="*/ 20 w 66"/>
                              <a:gd name="T7" fmla="*/ 2 h 63"/>
                              <a:gd name="T8" fmla="*/ 14 w 66"/>
                              <a:gd name="T9" fmla="*/ 6 h 63"/>
                              <a:gd name="T10" fmla="*/ 8 w 66"/>
                              <a:gd name="T11" fmla="*/ 10 h 63"/>
                              <a:gd name="T12" fmla="*/ 8 w 66"/>
                              <a:gd name="T13" fmla="*/ 10 h 63"/>
                              <a:gd name="T14" fmla="*/ 4 w 66"/>
                              <a:gd name="T15" fmla="*/ 14 h 63"/>
                              <a:gd name="T16" fmla="*/ 2 w 66"/>
                              <a:gd name="T17" fmla="*/ 20 h 63"/>
                              <a:gd name="T18" fmla="*/ 0 w 66"/>
                              <a:gd name="T19" fmla="*/ 26 h 63"/>
                              <a:gd name="T20" fmla="*/ 0 w 66"/>
                              <a:gd name="T21" fmla="*/ 32 h 63"/>
                              <a:gd name="T22" fmla="*/ 0 w 66"/>
                              <a:gd name="T23" fmla="*/ 32 h 63"/>
                              <a:gd name="T24" fmla="*/ 0 w 66"/>
                              <a:gd name="T25" fmla="*/ 37 h 63"/>
                              <a:gd name="T26" fmla="*/ 2 w 66"/>
                              <a:gd name="T27" fmla="*/ 43 h 63"/>
                              <a:gd name="T28" fmla="*/ 4 w 66"/>
                              <a:gd name="T29" fmla="*/ 49 h 63"/>
                              <a:gd name="T30" fmla="*/ 8 w 66"/>
                              <a:gd name="T31" fmla="*/ 53 h 63"/>
                              <a:gd name="T32" fmla="*/ 8 w 66"/>
                              <a:gd name="T33" fmla="*/ 53 h 63"/>
                              <a:gd name="T34" fmla="*/ 14 w 66"/>
                              <a:gd name="T35" fmla="*/ 57 h 63"/>
                              <a:gd name="T36" fmla="*/ 20 w 66"/>
                              <a:gd name="T37" fmla="*/ 61 h 63"/>
                              <a:gd name="T38" fmla="*/ 32 w 66"/>
                              <a:gd name="T39" fmla="*/ 63 h 63"/>
                              <a:gd name="T40" fmla="*/ 32 w 66"/>
                              <a:gd name="T41" fmla="*/ 63 h 63"/>
                              <a:gd name="T42" fmla="*/ 44 w 66"/>
                              <a:gd name="T43" fmla="*/ 61 h 63"/>
                              <a:gd name="T44" fmla="*/ 50 w 66"/>
                              <a:gd name="T45" fmla="*/ 57 h 63"/>
                              <a:gd name="T46" fmla="*/ 56 w 66"/>
                              <a:gd name="T47" fmla="*/ 53 h 63"/>
                              <a:gd name="T48" fmla="*/ 56 w 66"/>
                              <a:gd name="T49" fmla="*/ 53 h 63"/>
                              <a:gd name="T50" fmla="*/ 60 w 66"/>
                              <a:gd name="T51" fmla="*/ 49 h 63"/>
                              <a:gd name="T52" fmla="*/ 62 w 66"/>
                              <a:gd name="T53" fmla="*/ 43 h 63"/>
                              <a:gd name="T54" fmla="*/ 64 w 66"/>
                              <a:gd name="T55" fmla="*/ 37 h 63"/>
                              <a:gd name="T56" fmla="*/ 66 w 66"/>
                              <a:gd name="T57" fmla="*/ 32 h 63"/>
                              <a:gd name="T58" fmla="*/ 66 w 66"/>
                              <a:gd name="T59" fmla="*/ 32 h 63"/>
                              <a:gd name="T60" fmla="*/ 64 w 66"/>
                              <a:gd name="T61" fmla="*/ 26 h 63"/>
                              <a:gd name="T62" fmla="*/ 62 w 66"/>
                              <a:gd name="T63" fmla="*/ 20 h 63"/>
                              <a:gd name="T64" fmla="*/ 60 w 66"/>
                              <a:gd name="T65" fmla="*/ 14 h 63"/>
                              <a:gd name="T66" fmla="*/ 56 w 66"/>
                              <a:gd name="T67" fmla="*/ 10 h 63"/>
                              <a:gd name="T68" fmla="*/ 56 w 66"/>
                              <a:gd name="T69" fmla="*/ 10 h 63"/>
                              <a:gd name="T70" fmla="*/ 50 w 66"/>
                              <a:gd name="T71" fmla="*/ 6 h 63"/>
                              <a:gd name="T72" fmla="*/ 44 w 66"/>
                              <a:gd name="T73" fmla="*/ 2 h 63"/>
                              <a:gd name="T74" fmla="*/ 38 w 66"/>
                              <a:gd name="T75" fmla="*/ 2 h 63"/>
                              <a:gd name="T76" fmla="*/ 32 w 66"/>
                              <a:gd name="T77" fmla="*/ 0 h 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66" h="63">
                                <a:moveTo>
                                  <a:pt x="32" y="0"/>
                                </a:moveTo>
                                <a:lnTo>
                                  <a:pt x="32" y="0"/>
                                </a:lnTo>
                                <a:lnTo>
                                  <a:pt x="26" y="2"/>
                                </a:lnTo>
                                <a:lnTo>
                                  <a:pt x="20" y="2"/>
                                </a:lnTo>
                                <a:lnTo>
                                  <a:pt x="14" y="6"/>
                                </a:lnTo>
                                <a:lnTo>
                                  <a:pt x="8" y="10"/>
                                </a:lnTo>
                                <a:lnTo>
                                  <a:pt x="8" y="10"/>
                                </a:lnTo>
                                <a:lnTo>
                                  <a:pt x="4" y="14"/>
                                </a:lnTo>
                                <a:lnTo>
                                  <a:pt x="2" y="20"/>
                                </a:lnTo>
                                <a:lnTo>
                                  <a:pt x="0" y="26"/>
                                </a:lnTo>
                                <a:lnTo>
                                  <a:pt x="0" y="32"/>
                                </a:lnTo>
                                <a:lnTo>
                                  <a:pt x="0" y="32"/>
                                </a:lnTo>
                                <a:lnTo>
                                  <a:pt x="0" y="37"/>
                                </a:lnTo>
                                <a:lnTo>
                                  <a:pt x="2" y="43"/>
                                </a:lnTo>
                                <a:lnTo>
                                  <a:pt x="4" y="49"/>
                                </a:lnTo>
                                <a:lnTo>
                                  <a:pt x="8" y="53"/>
                                </a:lnTo>
                                <a:lnTo>
                                  <a:pt x="8" y="53"/>
                                </a:lnTo>
                                <a:lnTo>
                                  <a:pt x="14" y="57"/>
                                </a:lnTo>
                                <a:lnTo>
                                  <a:pt x="20" y="61"/>
                                </a:lnTo>
                                <a:lnTo>
                                  <a:pt x="32" y="63"/>
                                </a:lnTo>
                                <a:lnTo>
                                  <a:pt x="32" y="63"/>
                                </a:lnTo>
                                <a:lnTo>
                                  <a:pt x="44" y="61"/>
                                </a:lnTo>
                                <a:lnTo>
                                  <a:pt x="50" y="57"/>
                                </a:lnTo>
                                <a:lnTo>
                                  <a:pt x="56" y="53"/>
                                </a:lnTo>
                                <a:lnTo>
                                  <a:pt x="56" y="53"/>
                                </a:lnTo>
                                <a:lnTo>
                                  <a:pt x="60" y="49"/>
                                </a:lnTo>
                                <a:lnTo>
                                  <a:pt x="62" y="43"/>
                                </a:lnTo>
                                <a:lnTo>
                                  <a:pt x="64" y="37"/>
                                </a:lnTo>
                                <a:lnTo>
                                  <a:pt x="66" y="32"/>
                                </a:lnTo>
                                <a:lnTo>
                                  <a:pt x="66" y="32"/>
                                </a:lnTo>
                                <a:lnTo>
                                  <a:pt x="64" y="26"/>
                                </a:lnTo>
                                <a:lnTo>
                                  <a:pt x="62" y="20"/>
                                </a:lnTo>
                                <a:lnTo>
                                  <a:pt x="60" y="14"/>
                                </a:lnTo>
                                <a:lnTo>
                                  <a:pt x="56" y="10"/>
                                </a:lnTo>
                                <a:lnTo>
                                  <a:pt x="56" y="10"/>
                                </a:lnTo>
                                <a:lnTo>
                                  <a:pt x="50" y="6"/>
                                </a:lnTo>
                                <a:lnTo>
                                  <a:pt x="44" y="2"/>
                                </a:lnTo>
                                <a:lnTo>
                                  <a:pt x="38" y="2"/>
                                </a:lnTo>
                                <a:lnTo>
                                  <a:pt x="32"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30" name="Freeform 30"/>
                        <wps:cNvSpPr>
                          <a:spLocks/>
                        </wps:cNvSpPr>
                        <wps:spPr bwMode="auto">
                          <a:xfrm>
                            <a:off x="2750950" y="565749"/>
                            <a:ext cx="285750" cy="379413"/>
                          </a:xfrm>
                          <a:custGeom>
                            <a:avLst/>
                            <a:gdLst>
                              <a:gd name="T0" fmla="*/ 154 w 180"/>
                              <a:gd name="T1" fmla="*/ 2 h 239"/>
                              <a:gd name="T2" fmla="*/ 124 w 180"/>
                              <a:gd name="T3" fmla="*/ 0 h 239"/>
                              <a:gd name="T4" fmla="*/ 106 w 180"/>
                              <a:gd name="T5" fmla="*/ 0 h 239"/>
                              <a:gd name="T6" fmla="*/ 74 w 180"/>
                              <a:gd name="T7" fmla="*/ 8 h 239"/>
                              <a:gd name="T8" fmla="*/ 58 w 180"/>
                              <a:gd name="T9" fmla="*/ 14 h 239"/>
                              <a:gd name="T10" fmla="*/ 34 w 180"/>
                              <a:gd name="T11" fmla="*/ 34 h 239"/>
                              <a:gd name="T12" fmla="*/ 14 w 180"/>
                              <a:gd name="T13" fmla="*/ 60 h 239"/>
                              <a:gd name="T14" fmla="*/ 8 w 180"/>
                              <a:gd name="T15" fmla="*/ 74 h 239"/>
                              <a:gd name="T16" fmla="*/ 0 w 180"/>
                              <a:gd name="T17" fmla="*/ 108 h 239"/>
                              <a:gd name="T18" fmla="*/ 0 w 180"/>
                              <a:gd name="T19" fmla="*/ 126 h 239"/>
                              <a:gd name="T20" fmla="*/ 4 w 180"/>
                              <a:gd name="T21" fmla="*/ 158 h 239"/>
                              <a:gd name="T22" fmla="*/ 14 w 180"/>
                              <a:gd name="T23" fmla="*/ 186 h 239"/>
                              <a:gd name="T24" fmla="*/ 22 w 180"/>
                              <a:gd name="T25" fmla="*/ 198 h 239"/>
                              <a:gd name="T26" fmla="*/ 42 w 180"/>
                              <a:gd name="T27" fmla="*/ 217 h 239"/>
                              <a:gd name="T28" fmla="*/ 54 w 180"/>
                              <a:gd name="T29" fmla="*/ 225 h 239"/>
                              <a:gd name="T30" fmla="*/ 82 w 180"/>
                              <a:gd name="T31" fmla="*/ 237 h 239"/>
                              <a:gd name="T32" fmla="*/ 114 w 180"/>
                              <a:gd name="T33" fmla="*/ 239 h 239"/>
                              <a:gd name="T34" fmla="*/ 132 w 180"/>
                              <a:gd name="T35" fmla="*/ 239 h 239"/>
                              <a:gd name="T36" fmla="*/ 166 w 180"/>
                              <a:gd name="T37" fmla="*/ 231 h 239"/>
                              <a:gd name="T38" fmla="*/ 180 w 180"/>
                              <a:gd name="T39" fmla="*/ 223 h 239"/>
                              <a:gd name="T40" fmla="*/ 178 w 180"/>
                              <a:gd name="T41" fmla="*/ 176 h 239"/>
                              <a:gd name="T42" fmla="*/ 166 w 180"/>
                              <a:gd name="T43" fmla="*/ 184 h 239"/>
                              <a:gd name="T44" fmla="*/ 152 w 180"/>
                              <a:gd name="T45" fmla="*/ 190 h 239"/>
                              <a:gd name="T46" fmla="*/ 126 w 180"/>
                              <a:gd name="T47" fmla="*/ 196 h 239"/>
                              <a:gd name="T48" fmla="*/ 110 w 180"/>
                              <a:gd name="T49" fmla="*/ 194 h 239"/>
                              <a:gd name="T50" fmla="*/ 86 w 180"/>
                              <a:gd name="T51" fmla="*/ 184 h 239"/>
                              <a:gd name="T52" fmla="*/ 74 w 180"/>
                              <a:gd name="T53" fmla="*/ 176 h 239"/>
                              <a:gd name="T54" fmla="*/ 60 w 180"/>
                              <a:gd name="T55" fmla="*/ 152 h 239"/>
                              <a:gd name="T56" fmla="*/ 56 w 180"/>
                              <a:gd name="T57" fmla="*/ 122 h 239"/>
                              <a:gd name="T58" fmla="*/ 58 w 180"/>
                              <a:gd name="T59" fmla="*/ 104 h 239"/>
                              <a:gd name="T60" fmla="*/ 68 w 180"/>
                              <a:gd name="T61" fmla="*/ 76 h 239"/>
                              <a:gd name="T62" fmla="*/ 76 w 180"/>
                              <a:gd name="T63" fmla="*/ 64 h 239"/>
                              <a:gd name="T64" fmla="*/ 98 w 180"/>
                              <a:gd name="T65" fmla="*/ 50 h 239"/>
                              <a:gd name="T66" fmla="*/ 126 w 180"/>
                              <a:gd name="T67" fmla="*/ 44 h 239"/>
                              <a:gd name="T68" fmla="*/ 140 w 180"/>
                              <a:gd name="T69" fmla="*/ 46 h 239"/>
                              <a:gd name="T70" fmla="*/ 166 w 180"/>
                              <a:gd name="T71" fmla="*/ 54 h 239"/>
                              <a:gd name="T72" fmla="*/ 180 w 180"/>
                              <a:gd name="T73" fmla="*/ 64 h 239"/>
                              <a:gd name="T74" fmla="*/ 180 w 180"/>
                              <a:gd name="T75" fmla="*/ 10 h 239"/>
                              <a:gd name="T76" fmla="*/ 168 w 180"/>
                              <a:gd name="T77" fmla="*/ 6 h 2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80" h="239">
                                <a:moveTo>
                                  <a:pt x="154" y="2"/>
                                </a:moveTo>
                                <a:lnTo>
                                  <a:pt x="154" y="2"/>
                                </a:lnTo>
                                <a:lnTo>
                                  <a:pt x="140" y="0"/>
                                </a:lnTo>
                                <a:lnTo>
                                  <a:pt x="124" y="0"/>
                                </a:lnTo>
                                <a:lnTo>
                                  <a:pt x="124" y="0"/>
                                </a:lnTo>
                                <a:lnTo>
                                  <a:pt x="106" y="0"/>
                                </a:lnTo>
                                <a:lnTo>
                                  <a:pt x="90" y="4"/>
                                </a:lnTo>
                                <a:lnTo>
                                  <a:pt x="74" y="8"/>
                                </a:lnTo>
                                <a:lnTo>
                                  <a:pt x="58" y="14"/>
                                </a:lnTo>
                                <a:lnTo>
                                  <a:pt x="58" y="14"/>
                                </a:lnTo>
                                <a:lnTo>
                                  <a:pt x="44" y="24"/>
                                </a:lnTo>
                                <a:lnTo>
                                  <a:pt x="34" y="34"/>
                                </a:lnTo>
                                <a:lnTo>
                                  <a:pt x="24" y="46"/>
                                </a:lnTo>
                                <a:lnTo>
                                  <a:pt x="14" y="60"/>
                                </a:lnTo>
                                <a:lnTo>
                                  <a:pt x="14" y="60"/>
                                </a:lnTo>
                                <a:lnTo>
                                  <a:pt x="8" y="74"/>
                                </a:lnTo>
                                <a:lnTo>
                                  <a:pt x="4" y="90"/>
                                </a:lnTo>
                                <a:lnTo>
                                  <a:pt x="0" y="108"/>
                                </a:lnTo>
                                <a:lnTo>
                                  <a:pt x="0" y="126"/>
                                </a:lnTo>
                                <a:lnTo>
                                  <a:pt x="0" y="126"/>
                                </a:lnTo>
                                <a:lnTo>
                                  <a:pt x="0" y="142"/>
                                </a:lnTo>
                                <a:lnTo>
                                  <a:pt x="4" y="158"/>
                                </a:lnTo>
                                <a:lnTo>
                                  <a:pt x="8" y="172"/>
                                </a:lnTo>
                                <a:lnTo>
                                  <a:pt x="14" y="186"/>
                                </a:lnTo>
                                <a:lnTo>
                                  <a:pt x="14" y="186"/>
                                </a:lnTo>
                                <a:lnTo>
                                  <a:pt x="22" y="198"/>
                                </a:lnTo>
                                <a:lnTo>
                                  <a:pt x="32" y="208"/>
                                </a:lnTo>
                                <a:lnTo>
                                  <a:pt x="42" y="217"/>
                                </a:lnTo>
                                <a:lnTo>
                                  <a:pt x="54" y="225"/>
                                </a:lnTo>
                                <a:lnTo>
                                  <a:pt x="54" y="225"/>
                                </a:lnTo>
                                <a:lnTo>
                                  <a:pt x="68" y="231"/>
                                </a:lnTo>
                                <a:lnTo>
                                  <a:pt x="82" y="237"/>
                                </a:lnTo>
                                <a:lnTo>
                                  <a:pt x="98" y="239"/>
                                </a:lnTo>
                                <a:lnTo>
                                  <a:pt x="114" y="239"/>
                                </a:lnTo>
                                <a:lnTo>
                                  <a:pt x="114" y="239"/>
                                </a:lnTo>
                                <a:lnTo>
                                  <a:pt x="132" y="239"/>
                                </a:lnTo>
                                <a:lnTo>
                                  <a:pt x="150" y="235"/>
                                </a:lnTo>
                                <a:lnTo>
                                  <a:pt x="166" y="231"/>
                                </a:lnTo>
                                <a:lnTo>
                                  <a:pt x="180" y="225"/>
                                </a:lnTo>
                                <a:lnTo>
                                  <a:pt x="180" y="223"/>
                                </a:lnTo>
                                <a:lnTo>
                                  <a:pt x="180" y="176"/>
                                </a:lnTo>
                                <a:lnTo>
                                  <a:pt x="178" y="176"/>
                                </a:lnTo>
                                <a:lnTo>
                                  <a:pt x="178" y="176"/>
                                </a:lnTo>
                                <a:lnTo>
                                  <a:pt x="166" y="184"/>
                                </a:lnTo>
                                <a:lnTo>
                                  <a:pt x="152" y="190"/>
                                </a:lnTo>
                                <a:lnTo>
                                  <a:pt x="152" y="190"/>
                                </a:lnTo>
                                <a:lnTo>
                                  <a:pt x="138" y="194"/>
                                </a:lnTo>
                                <a:lnTo>
                                  <a:pt x="126" y="196"/>
                                </a:lnTo>
                                <a:lnTo>
                                  <a:pt x="126" y="196"/>
                                </a:lnTo>
                                <a:lnTo>
                                  <a:pt x="110" y="194"/>
                                </a:lnTo>
                                <a:lnTo>
                                  <a:pt x="96" y="190"/>
                                </a:lnTo>
                                <a:lnTo>
                                  <a:pt x="86" y="184"/>
                                </a:lnTo>
                                <a:lnTo>
                                  <a:pt x="74" y="176"/>
                                </a:lnTo>
                                <a:lnTo>
                                  <a:pt x="74" y="176"/>
                                </a:lnTo>
                                <a:lnTo>
                                  <a:pt x="66" y="166"/>
                                </a:lnTo>
                                <a:lnTo>
                                  <a:pt x="60" y="152"/>
                                </a:lnTo>
                                <a:lnTo>
                                  <a:pt x="58" y="138"/>
                                </a:lnTo>
                                <a:lnTo>
                                  <a:pt x="56" y="122"/>
                                </a:lnTo>
                                <a:lnTo>
                                  <a:pt x="56" y="122"/>
                                </a:lnTo>
                                <a:lnTo>
                                  <a:pt x="58" y="104"/>
                                </a:lnTo>
                                <a:lnTo>
                                  <a:pt x="62" y="90"/>
                                </a:lnTo>
                                <a:lnTo>
                                  <a:pt x="68" y="76"/>
                                </a:lnTo>
                                <a:lnTo>
                                  <a:pt x="76" y="64"/>
                                </a:lnTo>
                                <a:lnTo>
                                  <a:pt x="76" y="64"/>
                                </a:lnTo>
                                <a:lnTo>
                                  <a:pt x="86" y="56"/>
                                </a:lnTo>
                                <a:lnTo>
                                  <a:pt x="98" y="50"/>
                                </a:lnTo>
                                <a:lnTo>
                                  <a:pt x="112" y="46"/>
                                </a:lnTo>
                                <a:lnTo>
                                  <a:pt x="126" y="44"/>
                                </a:lnTo>
                                <a:lnTo>
                                  <a:pt x="126" y="44"/>
                                </a:lnTo>
                                <a:lnTo>
                                  <a:pt x="140" y="46"/>
                                </a:lnTo>
                                <a:lnTo>
                                  <a:pt x="152" y="48"/>
                                </a:lnTo>
                                <a:lnTo>
                                  <a:pt x="166" y="54"/>
                                </a:lnTo>
                                <a:lnTo>
                                  <a:pt x="178" y="62"/>
                                </a:lnTo>
                                <a:lnTo>
                                  <a:pt x="180" y="64"/>
                                </a:lnTo>
                                <a:lnTo>
                                  <a:pt x="180" y="12"/>
                                </a:lnTo>
                                <a:lnTo>
                                  <a:pt x="180" y="10"/>
                                </a:lnTo>
                                <a:lnTo>
                                  <a:pt x="180" y="10"/>
                                </a:lnTo>
                                <a:lnTo>
                                  <a:pt x="168" y="6"/>
                                </a:lnTo>
                                <a:lnTo>
                                  <a:pt x="154" y="2"/>
                                </a:lnTo>
                                <a:close/>
                              </a:path>
                            </a:pathLst>
                          </a:custGeom>
                          <a:solidFill>
                            <a:srgbClr val="747474"/>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31" name="Freeform 31"/>
                        <wps:cNvSpPr>
                          <a:spLocks/>
                        </wps:cNvSpPr>
                        <wps:spPr bwMode="auto">
                          <a:xfrm>
                            <a:off x="2750950" y="565749"/>
                            <a:ext cx="285750" cy="379413"/>
                          </a:xfrm>
                          <a:custGeom>
                            <a:avLst/>
                            <a:gdLst>
                              <a:gd name="T0" fmla="*/ 154 w 180"/>
                              <a:gd name="T1" fmla="*/ 2 h 239"/>
                              <a:gd name="T2" fmla="*/ 124 w 180"/>
                              <a:gd name="T3" fmla="*/ 0 h 239"/>
                              <a:gd name="T4" fmla="*/ 106 w 180"/>
                              <a:gd name="T5" fmla="*/ 0 h 239"/>
                              <a:gd name="T6" fmla="*/ 74 w 180"/>
                              <a:gd name="T7" fmla="*/ 8 h 239"/>
                              <a:gd name="T8" fmla="*/ 58 w 180"/>
                              <a:gd name="T9" fmla="*/ 14 h 239"/>
                              <a:gd name="T10" fmla="*/ 34 w 180"/>
                              <a:gd name="T11" fmla="*/ 34 h 239"/>
                              <a:gd name="T12" fmla="*/ 14 w 180"/>
                              <a:gd name="T13" fmla="*/ 60 h 239"/>
                              <a:gd name="T14" fmla="*/ 8 w 180"/>
                              <a:gd name="T15" fmla="*/ 74 h 239"/>
                              <a:gd name="T16" fmla="*/ 0 w 180"/>
                              <a:gd name="T17" fmla="*/ 108 h 239"/>
                              <a:gd name="T18" fmla="*/ 0 w 180"/>
                              <a:gd name="T19" fmla="*/ 126 h 239"/>
                              <a:gd name="T20" fmla="*/ 4 w 180"/>
                              <a:gd name="T21" fmla="*/ 158 h 239"/>
                              <a:gd name="T22" fmla="*/ 14 w 180"/>
                              <a:gd name="T23" fmla="*/ 186 h 239"/>
                              <a:gd name="T24" fmla="*/ 22 w 180"/>
                              <a:gd name="T25" fmla="*/ 198 h 239"/>
                              <a:gd name="T26" fmla="*/ 42 w 180"/>
                              <a:gd name="T27" fmla="*/ 217 h 239"/>
                              <a:gd name="T28" fmla="*/ 54 w 180"/>
                              <a:gd name="T29" fmla="*/ 225 h 239"/>
                              <a:gd name="T30" fmla="*/ 82 w 180"/>
                              <a:gd name="T31" fmla="*/ 237 h 239"/>
                              <a:gd name="T32" fmla="*/ 114 w 180"/>
                              <a:gd name="T33" fmla="*/ 239 h 239"/>
                              <a:gd name="T34" fmla="*/ 132 w 180"/>
                              <a:gd name="T35" fmla="*/ 239 h 239"/>
                              <a:gd name="T36" fmla="*/ 166 w 180"/>
                              <a:gd name="T37" fmla="*/ 231 h 239"/>
                              <a:gd name="T38" fmla="*/ 180 w 180"/>
                              <a:gd name="T39" fmla="*/ 223 h 239"/>
                              <a:gd name="T40" fmla="*/ 178 w 180"/>
                              <a:gd name="T41" fmla="*/ 176 h 239"/>
                              <a:gd name="T42" fmla="*/ 166 w 180"/>
                              <a:gd name="T43" fmla="*/ 184 h 239"/>
                              <a:gd name="T44" fmla="*/ 152 w 180"/>
                              <a:gd name="T45" fmla="*/ 190 h 239"/>
                              <a:gd name="T46" fmla="*/ 126 w 180"/>
                              <a:gd name="T47" fmla="*/ 196 h 239"/>
                              <a:gd name="T48" fmla="*/ 110 w 180"/>
                              <a:gd name="T49" fmla="*/ 194 h 239"/>
                              <a:gd name="T50" fmla="*/ 86 w 180"/>
                              <a:gd name="T51" fmla="*/ 184 h 239"/>
                              <a:gd name="T52" fmla="*/ 74 w 180"/>
                              <a:gd name="T53" fmla="*/ 176 h 239"/>
                              <a:gd name="T54" fmla="*/ 60 w 180"/>
                              <a:gd name="T55" fmla="*/ 152 h 239"/>
                              <a:gd name="T56" fmla="*/ 56 w 180"/>
                              <a:gd name="T57" fmla="*/ 122 h 239"/>
                              <a:gd name="T58" fmla="*/ 58 w 180"/>
                              <a:gd name="T59" fmla="*/ 104 h 239"/>
                              <a:gd name="T60" fmla="*/ 68 w 180"/>
                              <a:gd name="T61" fmla="*/ 76 h 239"/>
                              <a:gd name="T62" fmla="*/ 76 w 180"/>
                              <a:gd name="T63" fmla="*/ 64 h 239"/>
                              <a:gd name="T64" fmla="*/ 98 w 180"/>
                              <a:gd name="T65" fmla="*/ 50 h 239"/>
                              <a:gd name="T66" fmla="*/ 126 w 180"/>
                              <a:gd name="T67" fmla="*/ 44 h 239"/>
                              <a:gd name="T68" fmla="*/ 140 w 180"/>
                              <a:gd name="T69" fmla="*/ 46 h 239"/>
                              <a:gd name="T70" fmla="*/ 166 w 180"/>
                              <a:gd name="T71" fmla="*/ 54 h 239"/>
                              <a:gd name="T72" fmla="*/ 180 w 180"/>
                              <a:gd name="T73" fmla="*/ 64 h 239"/>
                              <a:gd name="T74" fmla="*/ 180 w 180"/>
                              <a:gd name="T75" fmla="*/ 10 h 239"/>
                              <a:gd name="T76" fmla="*/ 168 w 180"/>
                              <a:gd name="T77" fmla="*/ 6 h 2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80" h="239">
                                <a:moveTo>
                                  <a:pt x="154" y="2"/>
                                </a:moveTo>
                                <a:lnTo>
                                  <a:pt x="154" y="2"/>
                                </a:lnTo>
                                <a:lnTo>
                                  <a:pt x="140" y="0"/>
                                </a:lnTo>
                                <a:lnTo>
                                  <a:pt x="124" y="0"/>
                                </a:lnTo>
                                <a:lnTo>
                                  <a:pt x="124" y="0"/>
                                </a:lnTo>
                                <a:lnTo>
                                  <a:pt x="106" y="0"/>
                                </a:lnTo>
                                <a:lnTo>
                                  <a:pt x="90" y="4"/>
                                </a:lnTo>
                                <a:lnTo>
                                  <a:pt x="74" y="8"/>
                                </a:lnTo>
                                <a:lnTo>
                                  <a:pt x="58" y="14"/>
                                </a:lnTo>
                                <a:lnTo>
                                  <a:pt x="58" y="14"/>
                                </a:lnTo>
                                <a:lnTo>
                                  <a:pt x="44" y="24"/>
                                </a:lnTo>
                                <a:lnTo>
                                  <a:pt x="34" y="34"/>
                                </a:lnTo>
                                <a:lnTo>
                                  <a:pt x="24" y="46"/>
                                </a:lnTo>
                                <a:lnTo>
                                  <a:pt x="14" y="60"/>
                                </a:lnTo>
                                <a:lnTo>
                                  <a:pt x="14" y="60"/>
                                </a:lnTo>
                                <a:lnTo>
                                  <a:pt x="8" y="74"/>
                                </a:lnTo>
                                <a:lnTo>
                                  <a:pt x="4" y="90"/>
                                </a:lnTo>
                                <a:lnTo>
                                  <a:pt x="0" y="108"/>
                                </a:lnTo>
                                <a:lnTo>
                                  <a:pt x="0" y="126"/>
                                </a:lnTo>
                                <a:lnTo>
                                  <a:pt x="0" y="126"/>
                                </a:lnTo>
                                <a:lnTo>
                                  <a:pt x="0" y="142"/>
                                </a:lnTo>
                                <a:lnTo>
                                  <a:pt x="4" y="158"/>
                                </a:lnTo>
                                <a:lnTo>
                                  <a:pt x="8" y="172"/>
                                </a:lnTo>
                                <a:lnTo>
                                  <a:pt x="14" y="186"/>
                                </a:lnTo>
                                <a:lnTo>
                                  <a:pt x="14" y="186"/>
                                </a:lnTo>
                                <a:lnTo>
                                  <a:pt x="22" y="198"/>
                                </a:lnTo>
                                <a:lnTo>
                                  <a:pt x="32" y="208"/>
                                </a:lnTo>
                                <a:lnTo>
                                  <a:pt x="42" y="217"/>
                                </a:lnTo>
                                <a:lnTo>
                                  <a:pt x="54" y="225"/>
                                </a:lnTo>
                                <a:lnTo>
                                  <a:pt x="54" y="225"/>
                                </a:lnTo>
                                <a:lnTo>
                                  <a:pt x="68" y="231"/>
                                </a:lnTo>
                                <a:lnTo>
                                  <a:pt x="82" y="237"/>
                                </a:lnTo>
                                <a:lnTo>
                                  <a:pt x="98" y="239"/>
                                </a:lnTo>
                                <a:lnTo>
                                  <a:pt x="114" y="239"/>
                                </a:lnTo>
                                <a:lnTo>
                                  <a:pt x="114" y="239"/>
                                </a:lnTo>
                                <a:lnTo>
                                  <a:pt x="132" y="239"/>
                                </a:lnTo>
                                <a:lnTo>
                                  <a:pt x="150" y="235"/>
                                </a:lnTo>
                                <a:lnTo>
                                  <a:pt x="166" y="231"/>
                                </a:lnTo>
                                <a:lnTo>
                                  <a:pt x="180" y="225"/>
                                </a:lnTo>
                                <a:lnTo>
                                  <a:pt x="180" y="223"/>
                                </a:lnTo>
                                <a:lnTo>
                                  <a:pt x="180" y="176"/>
                                </a:lnTo>
                                <a:lnTo>
                                  <a:pt x="178" y="176"/>
                                </a:lnTo>
                                <a:lnTo>
                                  <a:pt x="178" y="176"/>
                                </a:lnTo>
                                <a:lnTo>
                                  <a:pt x="166" y="184"/>
                                </a:lnTo>
                                <a:lnTo>
                                  <a:pt x="152" y="190"/>
                                </a:lnTo>
                                <a:lnTo>
                                  <a:pt x="152" y="190"/>
                                </a:lnTo>
                                <a:lnTo>
                                  <a:pt x="138" y="194"/>
                                </a:lnTo>
                                <a:lnTo>
                                  <a:pt x="126" y="196"/>
                                </a:lnTo>
                                <a:lnTo>
                                  <a:pt x="126" y="196"/>
                                </a:lnTo>
                                <a:lnTo>
                                  <a:pt x="110" y="194"/>
                                </a:lnTo>
                                <a:lnTo>
                                  <a:pt x="96" y="190"/>
                                </a:lnTo>
                                <a:lnTo>
                                  <a:pt x="86" y="184"/>
                                </a:lnTo>
                                <a:lnTo>
                                  <a:pt x="74" y="176"/>
                                </a:lnTo>
                                <a:lnTo>
                                  <a:pt x="74" y="176"/>
                                </a:lnTo>
                                <a:lnTo>
                                  <a:pt x="66" y="166"/>
                                </a:lnTo>
                                <a:lnTo>
                                  <a:pt x="60" y="152"/>
                                </a:lnTo>
                                <a:lnTo>
                                  <a:pt x="58" y="138"/>
                                </a:lnTo>
                                <a:lnTo>
                                  <a:pt x="56" y="122"/>
                                </a:lnTo>
                                <a:lnTo>
                                  <a:pt x="56" y="122"/>
                                </a:lnTo>
                                <a:lnTo>
                                  <a:pt x="58" y="104"/>
                                </a:lnTo>
                                <a:lnTo>
                                  <a:pt x="62" y="90"/>
                                </a:lnTo>
                                <a:lnTo>
                                  <a:pt x="68" y="76"/>
                                </a:lnTo>
                                <a:lnTo>
                                  <a:pt x="76" y="64"/>
                                </a:lnTo>
                                <a:lnTo>
                                  <a:pt x="76" y="64"/>
                                </a:lnTo>
                                <a:lnTo>
                                  <a:pt x="86" y="56"/>
                                </a:lnTo>
                                <a:lnTo>
                                  <a:pt x="98" y="50"/>
                                </a:lnTo>
                                <a:lnTo>
                                  <a:pt x="112" y="46"/>
                                </a:lnTo>
                                <a:lnTo>
                                  <a:pt x="126" y="44"/>
                                </a:lnTo>
                                <a:lnTo>
                                  <a:pt x="126" y="44"/>
                                </a:lnTo>
                                <a:lnTo>
                                  <a:pt x="140" y="46"/>
                                </a:lnTo>
                                <a:lnTo>
                                  <a:pt x="152" y="48"/>
                                </a:lnTo>
                                <a:lnTo>
                                  <a:pt x="166" y="54"/>
                                </a:lnTo>
                                <a:lnTo>
                                  <a:pt x="178" y="62"/>
                                </a:lnTo>
                                <a:lnTo>
                                  <a:pt x="180" y="64"/>
                                </a:lnTo>
                                <a:lnTo>
                                  <a:pt x="180" y="12"/>
                                </a:lnTo>
                                <a:lnTo>
                                  <a:pt x="180" y="10"/>
                                </a:lnTo>
                                <a:lnTo>
                                  <a:pt x="180" y="10"/>
                                </a:lnTo>
                                <a:lnTo>
                                  <a:pt x="168" y="6"/>
                                </a:lnTo>
                                <a:lnTo>
                                  <a:pt x="154" y="2"/>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32" name="Freeform 32"/>
                        <wps:cNvSpPr>
                          <a:spLocks/>
                        </wps:cNvSpPr>
                        <wps:spPr bwMode="auto">
                          <a:xfrm>
                            <a:off x="3103375" y="565749"/>
                            <a:ext cx="212725" cy="373063"/>
                          </a:xfrm>
                          <a:custGeom>
                            <a:avLst/>
                            <a:gdLst>
                              <a:gd name="T0" fmla="*/ 112 w 134"/>
                              <a:gd name="T1" fmla="*/ 0 h 235"/>
                              <a:gd name="T2" fmla="*/ 112 w 134"/>
                              <a:gd name="T3" fmla="*/ 0 h 235"/>
                              <a:gd name="T4" fmla="*/ 102 w 134"/>
                              <a:gd name="T5" fmla="*/ 2 h 235"/>
                              <a:gd name="T6" fmla="*/ 92 w 134"/>
                              <a:gd name="T7" fmla="*/ 4 h 235"/>
                              <a:gd name="T8" fmla="*/ 84 w 134"/>
                              <a:gd name="T9" fmla="*/ 8 h 235"/>
                              <a:gd name="T10" fmla="*/ 74 w 134"/>
                              <a:gd name="T11" fmla="*/ 14 h 235"/>
                              <a:gd name="T12" fmla="*/ 74 w 134"/>
                              <a:gd name="T13" fmla="*/ 14 h 235"/>
                              <a:gd name="T14" fmla="*/ 68 w 134"/>
                              <a:gd name="T15" fmla="*/ 20 h 235"/>
                              <a:gd name="T16" fmla="*/ 62 w 134"/>
                              <a:gd name="T17" fmla="*/ 28 h 235"/>
                              <a:gd name="T18" fmla="*/ 54 w 134"/>
                              <a:gd name="T19" fmla="*/ 44 h 235"/>
                              <a:gd name="T20" fmla="*/ 54 w 134"/>
                              <a:gd name="T21" fmla="*/ 44 h 235"/>
                              <a:gd name="T22" fmla="*/ 54 w 134"/>
                              <a:gd name="T23" fmla="*/ 4 h 235"/>
                              <a:gd name="T24" fmla="*/ 0 w 134"/>
                              <a:gd name="T25" fmla="*/ 4 h 235"/>
                              <a:gd name="T26" fmla="*/ 0 w 134"/>
                              <a:gd name="T27" fmla="*/ 235 h 235"/>
                              <a:gd name="T28" fmla="*/ 54 w 134"/>
                              <a:gd name="T29" fmla="*/ 235 h 235"/>
                              <a:gd name="T30" fmla="*/ 54 w 134"/>
                              <a:gd name="T31" fmla="*/ 118 h 235"/>
                              <a:gd name="T32" fmla="*/ 54 w 134"/>
                              <a:gd name="T33" fmla="*/ 118 h 235"/>
                              <a:gd name="T34" fmla="*/ 54 w 134"/>
                              <a:gd name="T35" fmla="*/ 102 h 235"/>
                              <a:gd name="T36" fmla="*/ 56 w 134"/>
                              <a:gd name="T37" fmla="*/ 90 h 235"/>
                              <a:gd name="T38" fmla="*/ 62 w 134"/>
                              <a:gd name="T39" fmla="*/ 78 h 235"/>
                              <a:gd name="T40" fmla="*/ 68 w 134"/>
                              <a:gd name="T41" fmla="*/ 68 h 235"/>
                              <a:gd name="T42" fmla="*/ 68 w 134"/>
                              <a:gd name="T43" fmla="*/ 68 h 235"/>
                              <a:gd name="T44" fmla="*/ 74 w 134"/>
                              <a:gd name="T45" fmla="*/ 60 h 235"/>
                              <a:gd name="T46" fmla="*/ 82 w 134"/>
                              <a:gd name="T47" fmla="*/ 54 h 235"/>
                              <a:gd name="T48" fmla="*/ 92 w 134"/>
                              <a:gd name="T49" fmla="*/ 50 h 235"/>
                              <a:gd name="T50" fmla="*/ 102 w 134"/>
                              <a:gd name="T51" fmla="*/ 50 h 235"/>
                              <a:gd name="T52" fmla="*/ 102 w 134"/>
                              <a:gd name="T53" fmla="*/ 50 h 235"/>
                              <a:gd name="T54" fmla="*/ 118 w 134"/>
                              <a:gd name="T55" fmla="*/ 52 h 235"/>
                              <a:gd name="T56" fmla="*/ 118 w 134"/>
                              <a:gd name="T57" fmla="*/ 52 h 235"/>
                              <a:gd name="T58" fmla="*/ 132 w 134"/>
                              <a:gd name="T59" fmla="*/ 58 h 235"/>
                              <a:gd name="T60" fmla="*/ 134 w 134"/>
                              <a:gd name="T61" fmla="*/ 58 h 235"/>
                              <a:gd name="T62" fmla="*/ 134 w 134"/>
                              <a:gd name="T63" fmla="*/ 4 h 235"/>
                              <a:gd name="T64" fmla="*/ 132 w 134"/>
                              <a:gd name="T65" fmla="*/ 4 h 235"/>
                              <a:gd name="T66" fmla="*/ 132 w 134"/>
                              <a:gd name="T67" fmla="*/ 4 h 235"/>
                              <a:gd name="T68" fmla="*/ 124 w 134"/>
                              <a:gd name="T69" fmla="*/ 2 h 235"/>
                              <a:gd name="T70" fmla="*/ 112 w 134"/>
                              <a:gd name="T71" fmla="*/ 0 h 2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34" h="235">
                                <a:moveTo>
                                  <a:pt x="112" y="0"/>
                                </a:moveTo>
                                <a:lnTo>
                                  <a:pt x="112" y="0"/>
                                </a:lnTo>
                                <a:lnTo>
                                  <a:pt x="102" y="2"/>
                                </a:lnTo>
                                <a:lnTo>
                                  <a:pt x="92" y="4"/>
                                </a:lnTo>
                                <a:lnTo>
                                  <a:pt x="84" y="8"/>
                                </a:lnTo>
                                <a:lnTo>
                                  <a:pt x="74" y="14"/>
                                </a:lnTo>
                                <a:lnTo>
                                  <a:pt x="74" y="14"/>
                                </a:lnTo>
                                <a:lnTo>
                                  <a:pt x="68" y="20"/>
                                </a:lnTo>
                                <a:lnTo>
                                  <a:pt x="62" y="28"/>
                                </a:lnTo>
                                <a:lnTo>
                                  <a:pt x="54" y="44"/>
                                </a:lnTo>
                                <a:lnTo>
                                  <a:pt x="54" y="44"/>
                                </a:lnTo>
                                <a:lnTo>
                                  <a:pt x="54" y="4"/>
                                </a:lnTo>
                                <a:lnTo>
                                  <a:pt x="0" y="4"/>
                                </a:lnTo>
                                <a:lnTo>
                                  <a:pt x="0" y="235"/>
                                </a:lnTo>
                                <a:lnTo>
                                  <a:pt x="54" y="235"/>
                                </a:lnTo>
                                <a:lnTo>
                                  <a:pt x="54" y="118"/>
                                </a:lnTo>
                                <a:lnTo>
                                  <a:pt x="54" y="118"/>
                                </a:lnTo>
                                <a:lnTo>
                                  <a:pt x="54" y="102"/>
                                </a:lnTo>
                                <a:lnTo>
                                  <a:pt x="56" y="90"/>
                                </a:lnTo>
                                <a:lnTo>
                                  <a:pt x="62" y="78"/>
                                </a:lnTo>
                                <a:lnTo>
                                  <a:pt x="68" y="68"/>
                                </a:lnTo>
                                <a:lnTo>
                                  <a:pt x="68" y="68"/>
                                </a:lnTo>
                                <a:lnTo>
                                  <a:pt x="74" y="60"/>
                                </a:lnTo>
                                <a:lnTo>
                                  <a:pt x="82" y="54"/>
                                </a:lnTo>
                                <a:lnTo>
                                  <a:pt x="92" y="50"/>
                                </a:lnTo>
                                <a:lnTo>
                                  <a:pt x="102" y="50"/>
                                </a:lnTo>
                                <a:lnTo>
                                  <a:pt x="102" y="50"/>
                                </a:lnTo>
                                <a:lnTo>
                                  <a:pt x="118" y="52"/>
                                </a:lnTo>
                                <a:lnTo>
                                  <a:pt x="118" y="52"/>
                                </a:lnTo>
                                <a:lnTo>
                                  <a:pt x="132" y="58"/>
                                </a:lnTo>
                                <a:lnTo>
                                  <a:pt x="134" y="58"/>
                                </a:lnTo>
                                <a:lnTo>
                                  <a:pt x="134" y="4"/>
                                </a:lnTo>
                                <a:lnTo>
                                  <a:pt x="132" y="4"/>
                                </a:lnTo>
                                <a:lnTo>
                                  <a:pt x="132" y="4"/>
                                </a:lnTo>
                                <a:lnTo>
                                  <a:pt x="124" y="2"/>
                                </a:lnTo>
                                <a:lnTo>
                                  <a:pt x="112" y="0"/>
                                </a:lnTo>
                                <a:close/>
                              </a:path>
                            </a:pathLst>
                          </a:custGeom>
                          <a:solidFill>
                            <a:srgbClr val="747474"/>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33" name="Freeform 33"/>
                        <wps:cNvSpPr>
                          <a:spLocks/>
                        </wps:cNvSpPr>
                        <wps:spPr bwMode="auto">
                          <a:xfrm>
                            <a:off x="3103375" y="565749"/>
                            <a:ext cx="212725" cy="373063"/>
                          </a:xfrm>
                          <a:custGeom>
                            <a:avLst/>
                            <a:gdLst>
                              <a:gd name="T0" fmla="*/ 112 w 134"/>
                              <a:gd name="T1" fmla="*/ 0 h 235"/>
                              <a:gd name="T2" fmla="*/ 112 w 134"/>
                              <a:gd name="T3" fmla="*/ 0 h 235"/>
                              <a:gd name="T4" fmla="*/ 102 w 134"/>
                              <a:gd name="T5" fmla="*/ 2 h 235"/>
                              <a:gd name="T6" fmla="*/ 92 w 134"/>
                              <a:gd name="T7" fmla="*/ 4 h 235"/>
                              <a:gd name="T8" fmla="*/ 84 w 134"/>
                              <a:gd name="T9" fmla="*/ 8 h 235"/>
                              <a:gd name="T10" fmla="*/ 74 w 134"/>
                              <a:gd name="T11" fmla="*/ 14 h 235"/>
                              <a:gd name="T12" fmla="*/ 74 w 134"/>
                              <a:gd name="T13" fmla="*/ 14 h 235"/>
                              <a:gd name="T14" fmla="*/ 68 w 134"/>
                              <a:gd name="T15" fmla="*/ 20 h 235"/>
                              <a:gd name="T16" fmla="*/ 62 w 134"/>
                              <a:gd name="T17" fmla="*/ 28 h 235"/>
                              <a:gd name="T18" fmla="*/ 54 w 134"/>
                              <a:gd name="T19" fmla="*/ 44 h 235"/>
                              <a:gd name="T20" fmla="*/ 54 w 134"/>
                              <a:gd name="T21" fmla="*/ 44 h 235"/>
                              <a:gd name="T22" fmla="*/ 54 w 134"/>
                              <a:gd name="T23" fmla="*/ 4 h 235"/>
                              <a:gd name="T24" fmla="*/ 0 w 134"/>
                              <a:gd name="T25" fmla="*/ 4 h 235"/>
                              <a:gd name="T26" fmla="*/ 0 w 134"/>
                              <a:gd name="T27" fmla="*/ 235 h 235"/>
                              <a:gd name="T28" fmla="*/ 54 w 134"/>
                              <a:gd name="T29" fmla="*/ 235 h 235"/>
                              <a:gd name="T30" fmla="*/ 54 w 134"/>
                              <a:gd name="T31" fmla="*/ 118 h 235"/>
                              <a:gd name="T32" fmla="*/ 54 w 134"/>
                              <a:gd name="T33" fmla="*/ 118 h 235"/>
                              <a:gd name="T34" fmla="*/ 54 w 134"/>
                              <a:gd name="T35" fmla="*/ 102 h 235"/>
                              <a:gd name="T36" fmla="*/ 56 w 134"/>
                              <a:gd name="T37" fmla="*/ 90 h 235"/>
                              <a:gd name="T38" fmla="*/ 62 w 134"/>
                              <a:gd name="T39" fmla="*/ 78 h 235"/>
                              <a:gd name="T40" fmla="*/ 68 w 134"/>
                              <a:gd name="T41" fmla="*/ 68 h 235"/>
                              <a:gd name="T42" fmla="*/ 68 w 134"/>
                              <a:gd name="T43" fmla="*/ 68 h 235"/>
                              <a:gd name="T44" fmla="*/ 74 w 134"/>
                              <a:gd name="T45" fmla="*/ 60 h 235"/>
                              <a:gd name="T46" fmla="*/ 82 w 134"/>
                              <a:gd name="T47" fmla="*/ 54 h 235"/>
                              <a:gd name="T48" fmla="*/ 92 w 134"/>
                              <a:gd name="T49" fmla="*/ 50 h 235"/>
                              <a:gd name="T50" fmla="*/ 102 w 134"/>
                              <a:gd name="T51" fmla="*/ 50 h 235"/>
                              <a:gd name="T52" fmla="*/ 102 w 134"/>
                              <a:gd name="T53" fmla="*/ 50 h 235"/>
                              <a:gd name="T54" fmla="*/ 118 w 134"/>
                              <a:gd name="T55" fmla="*/ 52 h 235"/>
                              <a:gd name="T56" fmla="*/ 118 w 134"/>
                              <a:gd name="T57" fmla="*/ 52 h 235"/>
                              <a:gd name="T58" fmla="*/ 132 w 134"/>
                              <a:gd name="T59" fmla="*/ 58 h 235"/>
                              <a:gd name="T60" fmla="*/ 134 w 134"/>
                              <a:gd name="T61" fmla="*/ 58 h 235"/>
                              <a:gd name="T62" fmla="*/ 134 w 134"/>
                              <a:gd name="T63" fmla="*/ 4 h 235"/>
                              <a:gd name="T64" fmla="*/ 132 w 134"/>
                              <a:gd name="T65" fmla="*/ 4 h 235"/>
                              <a:gd name="T66" fmla="*/ 132 w 134"/>
                              <a:gd name="T67" fmla="*/ 4 h 235"/>
                              <a:gd name="T68" fmla="*/ 124 w 134"/>
                              <a:gd name="T69" fmla="*/ 2 h 235"/>
                              <a:gd name="T70" fmla="*/ 112 w 134"/>
                              <a:gd name="T71" fmla="*/ 0 h 2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34" h="235">
                                <a:moveTo>
                                  <a:pt x="112" y="0"/>
                                </a:moveTo>
                                <a:lnTo>
                                  <a:pt x="112" y="0"/>
                                </a:lnTo>
                                <a:lnTo>
                                  <a:pt x="102" y="2"/>
                                </a:lnTo>
                                <a:lnTo>
                                  <a:pt x="92" y="4"/>
                                </a:lnTo>
                                <a:lnTo>
                                  <a:pt x="84" y="8"/>
                                </a:lnTo>
                                <a:lnTo>
                                  <a:pt x="74" y="14"/>
                                </a:lnTo>
                                <a:lnTo>
                                  <a:pt x="74" y="14"/>
                                </a:lnTo>
                                <a:lnTo>
                                  <a:pt x="68" y="20"/>
                                </a:lnTo>
                                <a:lnTo>
                                  <a:pt x="62" y="28"/>
                                </a:lnTo>
                                <a:lnTo>
                                  <a:pt x="54" y="44"/>
                                </a:lnTo>
                                <a:lnTo>
                                  <a:pt x="54" y="44"/>
                                </a:lnTo>
                                <a:lnTo>
                                  <a:pt x="54" y="4"/>
                                </a:lnTo>
                                <a:lnTo>
                                  <a:pt x="0" y="4"/>
                                </a:lnTo>
                                <a:lnTo>
                                  <a:pt x="0" y="235"/>
                                </a:lnTo>
                                <a:lnTo>
                                  <a:pt x="54" y="235"/>
                                </a:lnTo>
                                <a:lnTo>
                                  <a:pt x="54" y="118"/>
                                </a:lnTo>
                                <a:lnTo>
                                  <a:pt x="54" y="118"/>
                                </a:lnTo>
                                <a:lnTo>
                                  <a:pt x="54" y="102"/>
                                </a:lnTo>
                                <a:lnTo>
                                  <a:pt x="56" y="90"/>
                                </a:lnTo>
                                <a:lnTo>
                                  <a:pt x="62" y="78"/>
                                </a:lnTo>
                                <a:lnTo>
                                  <a:pt x="68" y="68"/>
                                </a:lnTo>
                                <a:lnTo>
                                  <a:pt x="68" y="68"/>
                                </a:lnTo>
                                <a:lnTo>
                                  <a:pt x="74" y="60"/>
                                </a:lnTo>
                                <a:lnTo>
                                  <a:pt x="82" y="54"/>
                                </a:lnTo>
                                <a:lnTo>
                                  <a:pt x="92" y="50"/>
                                </a:lnTo>
                                <a:lnTo>
                                  <a:pt x="102" y="50"/>
                                </a:lnTo>
                                <a:lnTo>
                                  <a:pt x="102" y="50"/>
                                </a:lnTo>
                                <a:lnTo>
                                  <a:pt x="118" y="52"/>
                                </a:lnTo>
                                <a:lnTo>
                                  <a:pt x="118" y="52"/>
                                </a:lnTo>
                                <a:lnTo>
                                  <a:pt x="132" y="58"/>
                                </a:lnTo>
                                <a:lnTo>
                                  <a:pt x="134" y="58"/>
                                </a:lnTo>
                                <a:lnTo>
                                  <a:pt x="134" y="4"/>
                                </a:lnTo>
                                <a:lnTo>
                                  <a:pt x="132" y="4"/>
                                </a:lnTo>
                                <a:lnTo>
                                  <a:pt x="132" y="4"/>
                                </a:lnTo>
                                <a:lnTo>
                                  <a:pt x="124" y="2"/>
                                </a:lnTo>
                                <a:lnTo>
                                  <a:pt x="112"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34" name="Freeform 34"/>
                        <wps:cNvSpPr>
                          <a:spLocks noEditPoints="1"/>
                        </wps:cNvSpPr>
                        <wps:spPr bwMode="auto">
                          <a:xfrm>
                            <a:off x="3319275" y="565749"/>
                            <a:ext cx="377825" cy="379413"/>
                          </a:xfrm>
                          <a:custGeom>
                            <a:avLst/>
                            <a:gdLst>
                              <a:gd name="T0" fmla="*/ 122 w 238"/>
                              <a:gd name="T1" fmla="*/ 0 h 239"/>
                              <a:gd name="T2" fmla="*/ 72 w 238"/>
                              <a:gd name="T3" fmla="*/ 8 h 239"/>
                              <a:gd name="T4" fmla="*/ 50 w 238"/>
                              <a:gd name="T5" fmla="*/ 18 h 239"/>
                              <a:gd name="T6" fmla="*/ 32 w 238"/>
                              <a:gd name="T7" fmla="*/ 32 h 239"/>
                              <a:gd name="T8" fmla="*/ 26 w 238"/>
                              <a:gd name="T9" fmla="*/ 40 h 239"/>
                              <a:gd name="T10" fmla="*/ 14 w 238"/>
                              <a:gd name="T11" fmla="*/ 60 h 239"/>
                              <a:gd name="T12" fmla="*/ 2 w 238"/>
                              <a:gd name="T13" fmla="*/ 96 h 239"/>
                              <a:gd name="T14" fmla="*/ 0 w 238"/>
                              <a:gd name="T15" fmla="*/ 122 h 239"/>
                              <a:gd name="T16" fmla="*/ 8 w 238"/>
                              <a:gd name="T17" fmla="*/ 172 h 239"/>
                              <a:gd name="T18" fmla="*/ 24 w 238"/>
                              <a:gd name="T19" fmla="*/ 200 h 239"/>
                              <a:gd name="T20" fmla="*/ 32 w 238"/>
                              <a:gd name="T21" fmla="*/ 208 h 239"/>
                              <a:gd name="T22" fmla="*/ 50 w 238"/>
                              <a:gd name="T23" fmla="*/ 221 h 239"/>
                              <a:gd name="T24" fmla="*/ 92 w 238"/>
                              <a:gd name="T25" fmla="*/ 237 h 239"/>
                              <a:gd name="T26" fmla="*/ 116 w 238"/>
                              <a:gd name="T27" fmla="*/ 239 h 239"/>
                              <a:gd name="T28" fmla="*/ 166 w 238"/>
                              <a:gd name="T29" fmla="*/ 231 h 239"/>
                              <a:gd name="T30" fmla="*/ 188 w 238"/>
                              <a:gd name="T31" fmla="*/ 221 h 239"/>
                              <a:gd name="T32" fmla="*/ 204 w 238"/>
                              <a:gd name="T33" fmla="*/ 208 h 239"/>
                              <a:gd name="T34" fmla="*/ 212 w 238"/>
                              <a:gd name="T35" fmla="*/ 198 h 239"/>
                              <a:gd name="T36" fmla="*/ 224 w 238"/>
                              <a:gd name="T37" fmla="*/ 178 h 239"/>
                              <a:gd name="T38" fmla="*/ 236 w 238"/>
                              <a:gd name="T39" fmla="*/ 144 h 239"/>
                              <a:gd name="T40" fmla="*/ 238 w 238"/>
                              <a:gd name="T41" fmla="*/ 118 h 239"/>
                              <a:gd name="T42" fmla="*/ 230 w 238"/>
                              <a:gd name="T43" fmla="*/ 68 h 239"/>
                              <a:gd name="T44" fmla="*/ 214 w 238"/>
                              <a:gd name="T45" fmla="*/ 38 h 239"/>
                              <a:gd name="T46" fmla="*/ 206 w 238"/>
                              <a:gd name="T47" fmla="*/ 30 h 239"/>
                              <a:gd name="T48" fmla="*/ 190 w 238"/>
                              <a:gd name="T49" fmla="*/ 16 h 239"/>
                              <a:gd name="T50" fmla="*/ 170 w 238"/>
                              <a:gd name="T51" fmla="*/ 6 h 239"/>
                              <a:gd name="T52" fmla="*/ 122 w 238"/>
                              <a:gd name="T53" fmla="*/ 0 h 239"/>
                              <a:gd name="T54" fmla="*/ 166 w 238"/>
                              <a:gd name="T55" fmla="*/ 176 h 239"/>
                              <a:gd name="T56" fmla="*/ 146 w 238"/>
                              <a:gd name="T57" fmla="*/ 190 h 239"/>
                              <a:gd name="T58" fmla="*/ 120 w 238"/>
                              <a:gd name="T59" fmla="*/ 196 h 239"/>
                              <a:gd name="T60" fmla="*/ 106 w 238"/>
                              <a:gd name="T61" fmla="*/ 194 h 239"/>
                              <a:gd name="T62" fmla="*/ 82 w 238"/>
                              <a:gd name="T63" fmla="*/ 184 h 239"/>
                              <a:gd name="T64" fmla="*/ 74 w 238"/>
                              <a:gd name="T65" fmla="*/ 176 h 239"/>
                              <a:gd name="T66" fmla="*/ 60 w 238"/>
                              <a:gd name="T67" fmla="*/ 152 h 239"/>
                              <a:gd name="T68" fmla="*/ 56 w 238"/>
                              <a:gd name="T69" fmla="*/ 120 h 239"/>
                              <a:gd name="T70" fmla="*/ 58 w 238"/>
                              <a:gd name="T71" fmla="*/ 104 h 239"/>
                              <a:gd name="T72" fmla="*/ 66 w 238"/>
                              <a:gd name="T73" fmla="*/ 74 h 239"/>
                              <a:gd name="T74" fmla="*/ 74 w 238"/>
                              <a:gd name="T75" fmla="*/ 64 h 239"/>
                              <a:gd name="T76" fmla="*/ 94 w 238"/>
                              <a:gd name="T77" fmla="*/ 48 h 239"/>
                              <a:gd name="T78" fmla="*/ 120 w 238"/>
                              <a:gd name="T79" fmla="*/ 44 h 239"/>
                              <a:gd name="T80" fmla="*/ 134 w 238"/>
                              <a:gd name="T81" fmla="*/ 46 h 239"/>
                              <a:gd name="T82" fmla="*/ 156 w 238"/>
                              <a:gd name="T83" fmla="*/ 54 h 239"/>
                              <a:gd name="T84" fmla="*/ 164 w 238"/>
                              <a:gd name="T85" fmla="*/ 62 h 239"/>
                              <a:gd name="T86" fmla="*/ 176 w 238"/>
                              <a:gd name="T87" fmla="*/ 86 h 239"/>
                              <a:gd name="T88" fmla="*/ 182 w 238"/>
                              <a:gd name="T89" fmla="*/ 120 h 239"/>
                              <a:gd name="T90" fmla="*/ 180 w 238"/>
                              <a:gd name="T91" fmla="*/ 138 h 239"/>
                              <a:gd name="T92" fmla="*/ 172 w 238"/>
                              <a:gd name="T93" fmla="*/ 166 h 2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38" h="239">
                                <a:moveTo>
                                  <a:pt x="122" y="0"/>
                                </a:moveTo>
                                <a:lnTo>
                                  <a:pt x="122" y="0"/>
                                </a:lnTo>
                                <a:lnTo>
                                  <a:pt x="96" y="2"/>
                                </a:lnTo>
                                <a:lnTo>
                                  <a:pt x="72" y="8"/>
                                </a:lnTo>
                                <a:lnTo>
                                  <a:pt x="60" y="12"/>
                                </a:lnTo>
                                <a:lnTo>
                                  <a:pt x="50" y="18"/>
                                </a:lnTo>
                                <a:lnTo>
                                  <a:pt x="42" y="24"/>
                                </a:lnTo>
                                <a:lnTo>
                                  <a:pt x="32" y="32"/>
                                </a:lnTo>
                                <a:lnTo>
                                  <a:pt x="32" y="32"/>
                                </a:lnTo>
                                <a:lnTo>
                                  <a:pt x="26" y="40"/>
                                </a:lnTo>
                                <a:lnTo>
                                  <a:pt x="18" y="50"/>
                                </a:lnTo>
                                <a:lnTo>
                                  <a:pt x="14" y="60"/>
                                </a:lnTo>
                                <a:lnTo>
                                  <a:pt x="8" y="72"/>
                                </a:lnTo>
                                <a:lnTo>
                                  <a:pt x="2" y="96"/>
                                </a:lnTo>
                                <a:lnTo>
                                  <a:pt x="0" y="122"/>
                                </a:lnTo>
                                <a:lnTo>
                                  <a:pt x="0" y="122"/>
                                </a:lnTo>
                                <a:lnTo>
                                  <a:pt x="2" y="148"/>
                                </a:lnTo>
                                <a:lnTo>
                                  <a:pt x="8" y="172"/>
                                </a:lnTo>
                                <a:lnTo>
                                  <a:pt x="18" y="192"/>
                                </a:lnTo>
                                <a:lnTo>
                                  <a:pt x="24" y="200"/>
                                </a:lnTo>
                                <a:lnTo>
                                  <a:pt x="32" y="208"/>
                                </a:lnTo>
                                <a:lnTo>
                                  <a:pt x="32" y="208"/>
                                </a:lnTo>
                                <a:lnTo>
                                  <a:pt x="40" y="215"/>
                                </a:lnTo>
                                <a:lnTo>
                                  <a:pt x="50" y="221"/>
                                </a:lnTo>
                                <a:lnTo>
                                  <a:pt x="70" y="231"/>
                                </a:lnTo>
                                <a:lnTo>
                                  <a:pt x="92" y="237"/>
                                </a:lnTo>
                                <a:lnTo>
                                  <a:pt x="116" y="239"/>
                                </a:lnTo>
                                <a:lnTo>
                                  <a:pt x="116" y="239"/>
                                </a:lnTo>
                                <a:lnTo>
                                  <a:pt x="144" y="237"/>
                                </a:lnTo>
                                <a:lnTo>
                                  <a:pt x="166" y="231"/>
                                </a:lnTo>
                                <a:lnTo>
                                  <a:pt x="178" y="227"/>
                                </a:lnTo>
                                <a:lnTo>
                                  <a:pt x="188" y="221"/>
                                </a:lnTo>
                                <a:lnTo>
                                  <a:pt x="196" y="213"/>
                                </a:lnTo>
                                <a:lnTo>
                                  <a:pt x="204" y="208"/>
                                </a:lnTo>
                                <a:lnTo>
                                  <a:pt x="204" y="208"/>
                                </a:lnTo>
                                <a:lnTo>
                                  <a:pt x="212" y="198"/>
                                </a:lnTo>
                                <a:lnTo>
                                  <a:pt x="220" y="188"/>
                                </a:lnTo>
                                <a:lnTo>
                                  <a:pt x="224" y="178"/>
                                </a:lnTo>
                                <a:lnTo>
                                  <a:pt x="230" y="168"/>
                                </a:lnTo>
                                <a:lnTo>
                                  <a:pt x="236" y="144"/>
                                </a:lnTo>
                                <a:lnTo>
                                  <a:pt x="238" y="118"/>
                                </a:lnTo>
                                <a:lnTo>
                                  <a:pt x="238" y="118"/>
                                </a:lnTo>
                                <a:lnTo>
                                  <a:pt x="236" y="92"/>
                                </a:lnTo>
                                <a:lnTo>
                                  <a:pt x="230" y="68"/>
                                </a:lnTo>
                                <a:lnTo>
                                  <a:pt x="220" y="48"/>
                                </a:lnTo>
                                <a:lnTo>
                                  <a:pt x="214" y="38"/>
                                </a:lnTo>
                                <a:lnTo>
                                  <a:pt x="206" y="30"/>
                                </a:lnTo>
                                <a:lnTo>
                                  <a:pt x="206" y="30"/>
                                </a:lnTo>
                                <a:lnTo>
                                  <a:pt x="198" y="24"/>
                                </a:lnTo>
                                <a:lnTo>
                                  <a:pt x="190" y="16"/>
                                </a:lnTo>
                                <a:lnTo>
                                  <a:pt x="180" y="12"/>
                                </a:lnTo>
                                <a:lnTo>
                                  <a:pt x="170" y="6"/>
                                </a:lnTo>
                                <a:lnTo>
                                  <a:pt x="148" y="2"/>
                                </a:lnTo>
                                <a:lnTo>
                                  <a:pt x="122" y="0"/>
                                </a:lnTo>
                                <a:close/>
                                <a:moveTo>
                                  <a:pt x="166" y="176"/>
                                </a:moveTo>
                                <a:lnTo>
                                  <a:pt x="166" y="176"/>
                                </a:lnTo>
                                <a:lnTo>
                                  <a:pt x="158" y="184"/>
                                </a:lnTo>
                                <a:lnTo>
                                  <a:pt x="146" y="190"/>
                                </a:lnTo>
                                <a:lnTo>
                                  <a:pt x="134" y="194"/>
                                </a:lnTo>
                                <a:lnTo>
                                  <a:pt x="120" y="196"/>
                                </a:lnTo>
                                <a:lnTo>
                                  <a:pt x="120" y="196"/>
                                </a:lnTo>
                                <a:lnTo>
                                  <a:pt x="106" y="194"/>
                                </a:lnTo>
                                <a:lnTo>
                                  <a:pt x="94" y="190"/>
                                </a:lnTo>
                                <a:lnTo>
                                  <a:pt x="82" y="184"/>
                                </a:lnTo>
                                <a:lnTo>
                                  <a:pt x="74" y="176"/>
                                </a:lnTo>
                                <a:lnTo>
                                  <a:pt x="74" y="176"/>
                                </a:lnTo>
                                <a:lnTo>
                                  <a:pt x="66" y="166"/>
                                </a:lnTo>
                                <a:lnTo>
                                  <a:pt x="60" y="152"/>
                                </a:lnTo>
                                <a:lnTo>
                                  <a:pt x="58" y="138"/>
                                </a:lnTo>
                                <a:lnTo>
                                  <a:pt x="56" y="120"/>
                                </a:lnTo>
                                <a:lnTo>
                                  <a:pt x="56" y="120"/>
                                </a:lnTo>
                                <a:lnTo>
                                  <a:pt x="58" y="104"/>
                                </a:lnTo>
                                <a:lnTo>
                                  <a:pt x="60" y="88"/>
                                </a:lnTo>
                                <a:lnTo>
                                  <a:pt x="66" y="74"/>
                                </a:lnTo>
                                <a:lnTo>
                                  <a:pt x="74" y="64"/>
                                </a:lnTo>
                                <a:lnTo>
                                  <a:pt x="74" y="64"/>
                                </a:lnTo>
                                <a:lnTo>
                                  <a:pt x="82" y="56"/>
                                </a:lnTo>
                                <a:lnTo>
                                  <a:pt x="94" y="48"/>
                                </a:lnTo>
                                <a:lnTo>
                                  <a:pt x="106" y="46"/>
                                </a:lnTo>
                                <a:lnTo>
                                  <a:pt x="120" y="44"/>
                                </a:lnTo>
                                <a:lnTo>
                                  <a:pt x="120" y="44"/>
                                </a:lnTo>
                                <a:lnTo>
                                  <a:pt x="134" y="46"/>
                                </a:lnTo>
                                <a:lnTo>
                                  <a:pt x="146" y="48"/>
                                </a:lnTo>
                                <a:lnTo>
                                  <a:pt x="156" y="54"/>
                                </a:lnTo>
                                <a:lnTo>
                                  <a:pt x="164" y="62"/>
                                </a:lnTo>
                                <a:lnTo>
                                  <a:pt x="164" y="62"/>
                                </a:lnTo>
                                <a:lnTo>
                                  <a:pt x="172" y="74"/>
                                </a:lnTo>
                                <a:lnTo>
                                  <a:pt x="176" y="86"/>
                                </a:lnTo>
                                <a:lnTo>
                                  <a:pt x="180" y="102"/>
                                </a:lnTo>
                                <a:lnTo>
                                  <a:pt x="182" y="120"/>
                                </a:lnTo>
                                <a:lnTo>
                                  <a:pt x="182" y="120"/>
                                </a:lnTo>
                                <a:lnTo>
                                  <a:pt x="180" y="138"/>
                                </a:lnTo>
                                <a:lnTo>
                                  <a:pt x="178" y="152"/>
                                </a:lnTo>
                                <a:lnTo>
                                  <a:pt x="172" y="166"/>
                                </a:lnTo>
                                <a:lnTo>
                                  <a:pt x="166" y="176"/>
                                </a:lnTo>
                                <a:close/>
                              </a:path>
                            </a:pathLst>
                          </a:custGeom>
                          <a:solidFill>
                            <a:srgbClr val="747474"/>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35" name="Freeform 35"/>
                        <wps:cNvSpPr>
                          <a:spLocks/>
                        </wps:cNvSpPr>
                        <wps:spPr bwMode="auto">
                          <a:xfrm>
                            <a:off x="3319275" y="565749"/>
                            <a:ext cx="377825" cy="379413"/>
                          </a:xfrm>
                          <a:custGeom>
                            <a:avLst/>
                            <a:gdLst>
                              <a:gd name="T0" fmla="*/ 122 w 238"/>
                              <a:gd name="T1" fmla="*/ 0 h 239"/>
                              <a:gd name="T2" fmla="*/ 122 w 238"/>
                              <a:gd name="T3" fmla="*/ 0 h 239"/>
                              <a:gd name="T4" fmla="*/ 96 w 238"/>
                              <a:gd name="T5" fmla="*/ 2 h 239"/>
                              <a:gd name="T6" fmla="*/ 72 w 238"/>
                              <a:gd name="T7" fmla="*/ 8 h 239"/>
                              <a:gd name="T8" fmla="*/ 60 w 238"/>
                              <a:gd name="T9" fmla="*/ 12 h 239"/>
                              <a:gd name="T10" fmla="*/ 50 w 238"/>
                              <a:gd name="T11" fmla="*/ 18 h 239"/>
                              <a:gd name="T12" fmla="*/ 42 w 238"/>
                              <a:gd name="T13" fmla="*/ 24 h 239"/>
                              <a:gd name="T14" fmla="*/ 32 w 238"/>
                              <a:gd name="T15" fmla="*/ 32 h 239"/>
                              <a:gd name="T16" fmla="*/ 32 w 238"/>
                              <a:gd name="T17" fmla="*/ 32 h 239"/>
                              <a:gd name="T18" fmla="*/ 26 w 238"/>
                              <a:gd name="T19" fmla="*/ 40 h 239"/>
                              <a:gd name="T20" fmla="*/ 18 w 238"/>
                              <a:gd name="T21" fmla="*/ 50 h 239"/>
                              <a:gd name="T22" fmla="*/ 14 w 238"/>
                              <a:gd name="T23" fmla="*/ 60 h 239"/>
                              <a:gd name="T24" fmla="*/ 8 w 238"/>
                              <a:gd name="T25" fmla="*/ 72 h 239"/>
                              <a:gd name="T26" fmla="*/ 2 w 238"/>
                              <a:gd name="T27" fmla="*/ 96 h 239"/>
                              <a:gd name="T28" fmla="*/ 0 w 238"/>
                              <a:gd name="T29" fmla="*/ 122 h 239"/>
                              <a:gd name="T30" fmla="*/ 0 w 238"/>
                              <a:gd name="T31" fmla="*/ 122 h 239"/>
                              <a:gd name="T32" fmla="*/ 2 w 238"/>
                              <a:gd name="T33" fmla="*/ 148 h 239"/>
                              <a:gd name="T34" fmla="*/ 8 w 238"/>
                              <a:gd name="T35" fmla="*/ 172 h 239"/>
                              <a:gd name="T36" fmla="*/ 18 w 238"/>
                              <a:gd name="T37" fmla="*/ 192 h 239"/>
                              <a:gd name="T38" fmla="*/ 24 w 238"/>
                              <a:gd name="T39" fmla="*/ 200 h 239"/>
                              <a:gd name="T40" fmla="*/ 32 w 238"/>
                              <a:gd name="T41" fmla="*/ 208 h 239"/>
                              <a:gd name="T42" fmla="*/ 32 w 238"/>
                              <a:gd name="T43" fmla="*/ 208 h 239"/>
                              <a:gd name="T44" fmla="*/ 40 w 238"/>
                              <a:gd name="T45" fmla="*/ 215 h 239"/>
                              <a:gd name="T46" fmla="*/ 50 w 238"/>
                              <a:gd name="T47" fmla="*/ 221 h 239"/>
                              <a:gd name="T48" fmla="*/ 70 w 238"/>
                              <a:gd name="T49" fmla="*/ 231 h 239"/>
                              <a:gd name="T50" fmla="*/ 92 w 238"/>
                              <a:gd name="T51" fmla="*/ 237 h 239"/>
                              <a:gd name="T52" fmla="*/ 116 w 238"/>
                              <a:gd name="T53" fmla="*/ 239 h 239"/>
                              <a:gd name="T54" fmla="*/ 116 w 238"/>
                              <a:gd name="T55" fmla="*/ 239 h 239"/>
                              <a:gd name="T56" fmla="*/ 144 w 238"/>
                              <a:gd name="T57" fmla="*/ 237 h 239"/>
                              <a:gd name="T58" fmla="*/ 166 w 238"/>
                              <a:gd name="T59" fmla="*/ 231 h 239"/>
                              <a:gd name="T60" fmla="*/ 178 w 238"/>
                              <a:gd name="T61" fmla="*/ 227 h 239"/>
                              <a:gd name="T62" fmla="*/ 188 w 238"/>
                              <a:gd name="T63" fmla="*/ 221 h 239"/>
                              <a:gd name="T64" fmla="*/ 196 w 238"/>
                              <a:gd name="T65" fmla="*/ 213 h 239"/>
                              <a:gd name="T66" fmla="*/ 204 w 238"/>
                              <a:gd name="T67" fmla="*/ 208 h 239"/>
                              <a:gd name="T68" fmla="*/ 204 w 238"/>
                              <a:gd name="T69" fmla="*/ 208 h 239"/>
                              <a:gd name="T70" fmla="*/ 212 w 238"/>
                              <a:gd name="T71" fmla="*/ 198 h 239"/>
                              <a:gd name="T72" fmla="*/ 220 w 238"/>
                              <a:gd name="T73" fmla="*/ 188 h 239"/>
                              <a:gd name="T74" fmla="*/ 224 w 238"/>
                              <a:gd name="T75" fmla="*/ 178 h 239"/>
                              <a:gd name="T76" fmla="*/ 230 w 238"/>
                              <a:gd name="T77" fmla="*/ 168 h 239"/>
                              <a:gd name="T78" fmla="*/ 236 w 238"/>
                              <a:gd name="T79" fmla="*/ 144 h 239"/>
                              <a:gd name="T80" fmla="*/ 238 w 238"/>
                              <a:gd name="T81" fmla="*/ 118 h 239"/>
                              <a:gd name="T82" fmla="*/ 238 w 238"/>
                              <a:gd name="T83" fmla="*/ 118 h 239"/>
                              <a:gd name="T84" fmla="*/ 236 w 238"/>
                              <a:gd name="T85" fmla="*/ 92 h 239"/>
                              <a:gd name="T86" fmla="*/ 230 w 238"/>
                              <a:gd name="T87" fmla="*/ 68 h 239"/>
                              <a:gd name="T88" fmla="*/ 220 w 238"/>
                              <a:gd name="T89" fmla="*/ 48 h 239"/>
                              <a:gd name="T90" fmla="*/ 214 w 238"/>
                              <a:gd name="T91" fmla="*/ 38 h 239"/>
                              <a:gd name="T92" fmla="*/ 206 w 238"/>
                              <a:gd name="T93" fmla="*/ 30 h 239"/>
                              <a:gd name="T94" fmla="*/ 206 w 238"/>
                              <a:gd name="T95" fmla="*/ 30 h 239"/>
                              <a:gd name="T96" fmla="*/ 198 w 238"/>
                              <a:gd name="T97" fmla="*/ 24 h 239"/>
                              <a:gd name="T98" fmla="*/ 190 w 238"/>
                              <a:gd name="T99" fmla="*/ 16 h 239"/>
                              <a:gd name="T100" fmla="*/ 180 w 238"/>
                              <a:gd name="T101" fmla="*/ 12 h 239"/>
                              <a:gd name="T102" fmla="*/ 170 w 238"/>
                              <a:gd name="T103" fmla="*/ 6 h 239"/>
                              <a:gd name="T104" fmla="*/ 148 w 238"/>
                              <a:gd name="T105" fmla="*/ 2 h 239"/>
                              <a:gd name="T106" fmla="*/ 122 w 238"/>
                              <a:gd name="T107" fmla="*/ 0 h 2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238" h="239">
                                <a:moveTo>
                                  <a:pt x="122" y="0"/>
                                </a:moveTo>
                                <a:lnTo>
                                  <a:pt x="122" y="0"/>
                                </a:lnTo>
                                <a:lnTo>
                                  <a:pt x="96" y="2"/>
                                </a:lnTo>
                                <a:lnTo>
                                  <a:pt x="72" y="8"/>
                                </a:lnTo>
                                <a:lnTo>
                                  <a:pt x="60" y="12"/>
                                </a:lnTo>
                                <a:lnTo>
                                  <a:pt x="50" y="18"/>
                                </a:lnTo>
                                <a:lnTo>
                                  <a:pt x="42" y="24"/>
                                </a:lnTo>
                                <a:lnTo>
                                  <a:pt x="32" y="32"/>
                                </a:lnTo>
                                <a:lnTo>
                                  <a:pt x="32" y="32"/>
                                </a:lnTo>
                                <a:lnTo>
                                  <a:pt x="26" y="40"/>
                                </a:lnTo>
                                <a:lnTo>
                                  <a:pt x="18" y="50"/>
                                </a:lnTo>
                                <a:lnTo>
                                  <a:pt x="14" y="60"/>
                                </a:lnTo>
                                <a:lnTo>
                                  <a:pt x="8" y="72"/>
                                </a:lnTo>
                                <a:lnTo>
                                  <a:pt x="2" y="96"/>
                                </a:lnTo>
                                <a:lnTo>
                                  <a:pt x="0" y="122"/>
                                </a:lnTo>
                                <a:lnTo>
                                  <a:pt x="0" y="122"/>
                                </a:lnTo>
                                <a:lnTo>
                                  <a:pt x="2" y="148"/>
                                </a:lnTo>
                                <a:lnTo>
                                  <a:pt x="8" y="172"/>
                                </a:lnTo>
                                <a:lnTo>
                                  <a:pt x="18" y="192"/>
                                </a:lnTo>
                                <a:lnTo>
                                  <a:pt x="24" y="200"/>
                                </a:lnTo>
                                <a:lnTo>
                                  <a:pt x="32" y="208"/>
                                </a:lnTo>
                                <a:lnTo>
                                  <a:pt x="32" y="208"/>
                                </a:lnTo>
                                <a:lnTo>
                                  <a:pt x="40" y="215"/>
                                </a:lnTo>
                                <a:lnTo>
                                  <a:pt x="50" y="221"/>
                                </a:lnTo>
                                <a:lnTo>
                                  <a:pt x="70" y="231"/>
                                </a:lnTo>
                                <a:lnTo>
                                  <a:pt x="92" y="237"/>
                                </a:lnTo>
                                <a:lnTo>
                                  <a:pt x="116" y="239"/>
                                </a:lnTo>
                                <a:lnTo>
                                  <a:pt x="116" y="239"/>
                                </a:lnTo>
                                <a:lnTo>
                                  <a:pt x="144" y="237"/>
                                </a:lnTo>
                                <a:lnTo>
                                  <a:pt x="166" y="231"/>
                                </a:lnTo>
                                <a:lnTo>
                                  <a:pt x="178" y="227"/>
                                </a:lnTo>
                                <a:lnTo>
                                  <a:pt x="188" y="221"/>
                                </a:lnTo>
                                <a:lnTo>
                                  <a:pt x="196" y="213"/>
                                </a:lnTo>
                                <a:lnTo>
                                  <a:pt x="204" y="208"/>
                                </a:lnTo>
                                <a:lnTo>
                                  <a:pt x="204" y="208"/>
                                </a:lnTo>
                                <a:lnTo>
                                  <a:pt x="212" y="198"/>
                                </a:lnTo>
                                <a:lnTo>
                                  <a:pt x="220" y="188"/>
                                </a:lnTo>
                                <a:lnTo>
                                  <a:pt x="224" y="178"/>
                                </a:lnTo>
                                <a:lnTo>
                                  <a:pt x="230" y="168"/>
                                </a:lnTo>
                                <a:lnTo>
                                  <a:pt x="236" y="144"/>
                                </a:lnTo>
                                <a:lnTo>
                                  <a:pt x="238" y="118"/>
                                </a:lnTo>
                                <a:lnTo>
                                  <a:pt x="238" y="118"/>
                                </a:lnTo>
                                <a:lnTo>
                                  <a:pt x="236" y="92"/>
                                </a:lnTo>
                                <a:lnTo>
                                  <a:pt x="230" y="68"/>
                                </a:lnTo>
                                <a:lnTo>
                                  <a:pt x="220" y="48"/>
                                </a:lnTo>
                                <a:lnTo>
                                  <a:pt x="214" y="38"/>
                                </a:lnTo>
                                <a:lnTo>
                                  <a:pt x="206" y="30"/>
                                </a:lnTo>
                                <a:lnTo>
                                  <a:pt x="206" y="30"/>
                                </a:lnTo>
                                <a:lnTo>
                                  <a:pt x="198" y="24"/>
                                </a:lnTo>
                                <a:lnTo>
                                  <a:pt x="190" y="16"/>
                                </a:lnTo>
                                <a:lnTo>
                                  <a:pt x="180" y="12"/>
                                </a:lnTo>
                                <a:lnTo>
                                  <a:pt x="170" y="6"/>
                                </a:lnTo>
                                <a:lnTo>
                                  <a:pt x="148" y="2"/>
                                </a:lnTo>
                                <a:lnTo>
                                  <a:pt x="122"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45" name="Freeform 45"/>
                        <wps:cNvSpPr>
                          <a:spLocks/>
                        </wps:cNvSpPr>
                        <wps:spPr bwMode="auto">
                          <a:xfrm>
                            <a:off x="3408175" y="635599"/>
                            <a:ext cx="200025" cy="241300"/>
                          </a:xfrm>
                          <a:custGeom>
                            <a:avLst/>
                            <a:gdLst>
                              <a:gd name="T0" fmla="*/ 110 w 126"/>
                              <a:gd name="T1" fmla="*/ 132 h 152"/>
                              <a:gd name="T2" fmla="*/ 110 w 126"/>
                              <a:gd name="T3" fmla="*/ 132 h 152"/>
                              <a:gd name="T4" fmla="*/ 102 w 126"/>
                              <a:gd name="T5" fmla="*/ 140 h 152"/>
                              <a:gd name="T6" fmla="*/ 90 w 126"/>
                              <a:gd name="T7" fmla="*/ 146 h 152"/>
                              <a:gd name="T8" fmla="*/ 78 w 126"/>
                              <a:gd name="T9" fmla="*/ 150 h 152"/>
                              <a:gd name="T10" fmla="*/ 64 w 126"/>
                              <a:gd name="T11" fmla="*/ 152 h 152"/>
                              <a:gd name="T12" fmla="*/ 64 w 126"/>
                              <a:gd name="T13" fmla="*/ 152 h 152"/>
                              <a:gd name="T14" fmla="*/ 50 w 126"/>
                              <a:gd name="T15" fmla="*/ 150 h 152"/>
                              <a:gd name="T16" fmla="*/ 38 w 126"/>
                              <a:gd name="T17" fmla="*/ 146 h 152"/>
                              <a:gd name="T18" fmla="*/ 26 w 126"/>
                              <a:gd name="T19" fmla="*/ 140 h 152"/>
                              <a:gd name="T20" fmla="*/ 18 w 126"/>
                              <a:gd name="T21" fmla="*/ 132 h 152"/>
                              <a:gd name="T22" fmla="*/ 18 w 126"/>
                              <a:gd name="T23" fmla="*/ 132 h 152"/>
                              <a:gd name="T24" fmla="*/ 10 w 126"/>
                              <a:gd name="T25" fmla="*/ 122 h 152"/>
                              <a:gd name="T26" fmla="*/ 4 w 126"/>
                              <a:gd name="T27" fmla="*/ 108 h 152"/>
                              <a:gd name="T28" fmla="*/ 2 w 126"/>
                              <a:gd name="T29" fmla="*/ 94 h 152"/>
                              <a:gd name="T30" fmla="*/ 0 w 126"/>
                              <a:gd name="T31" fmla="*/ 76 h 152"/>
                              <a:gd name="T32" fmla="*/ 0 w 126"/>
                              <a:gd name="T33" fmla="*/ 76 h 152"/>
                              <a:gd name="T34" fmla="*/ 2 w 126"/>
                              <a:gd name="T35" fmla="*/ 60 h 152"/>
                              <a:gd name="T36" fmla="*/ 4 w 126"/>
                              <a:gd name="T37" fmla="*/ 44 h 152"/>
                              <a:gd name="T38" fmla="*/ 10 w 126"/>
                              <a:gd name="T39" fmla="*/ 30 h 152"/>
                              <a:gd name="T40" fmla="*/ 18 w 126"/>
                              <a:gd name="T41" fmla="*/ 20 h 152"/>
                              <a:gd name="T42" fmla="*/ 18 w 126"/>
                              <a:gd name="T43" fmla="*/ 20 h 152"/>
                              <a:gd name="T44" fmla="*/ 26 w 126"/>
                              <a:gd name="T45" fmla="*/ 12 h 152"/>
                              <a:gd name="T46" fmla="*/ 38 w 126"/>
                              <a:gd name="T47" fmla="*/ 4 h 152"/>
                              <a:gd name="T48" fmla="*/ 50 w 126"/>
                              <a:gd name="T49" fmla="*/ 2 h 152"/>
                              <a:gd name="T50" fmla="*/ 64 w 126"/>
                              <a:gd name="T51" fmla="*/ 0 h 152"/>
                              <a:gd name="T52" fmla="*/ 64 w 126"/>
                              <a:gd name="T53" fmla="*/ 0 h 152"/>
                              <a:gd name="T54" fmla="*/ 78 w 126"/>
                              <a:gd name="T55" fmla="*/ 2 h 152"/>
                              <a:gd name="T56" fmla="*/ 90 w 126"/>
                              <a:gd name="T57" fmla="*/ 4 h 152"/>
                              <a:gd name="T58" fmla="*/ 100 w 126"/>
                              <a:gd name="T59" fmla="*/ 10 h 152"/>
                              <a:gd name="T60" fmla="*/ 108 w 126"/>
                              <a:gd name="T61" fmla="*/ 18 h 152"/>
                              <a:gd name="T62" fmla="*/ 108 w 126"/>
                              <a:gd name="T63" fmla="*/ 18 h 152"/>
                              <a:gd name="T64" fmla="*/ 116 w 126"/>
                              <a:gd name="T65" fmla="*/ 30 h 152"/>
                              <a:gd name="T66" fmla="*/ 120 w 126"/>
                              <a:gd name="T67" fmla="*/ 42 h 152"/>
                              <a:gd name="T68" fmla="*/ 124 w 126"/>
                              <a:gd name="T69" fmla="*/ 58 h 152"/>
                              <a:gd name="T70" fmla="*/ 126 w 126"/>
                              <a:gd name="T71" fmla="*/ 76 h 152"/>
                              <a:gd name="T72" fmla="*/ 126 w 126"/>
                              <a:gd name="T73" fmla="*/ 76 h 152"/>
                              <a:gd name="T74" fmla="*/ 124 w 126"/>
                              <a:gd name="T75" fmla="*/ 94 h 152"/>
                              <a:gd name="T76" fmla="*/ 122 w 126"/>
                              <a:gd name="T77" fmla="*/ 108 h 152"/>
                              <a:gd name="T78" fmla="*/ 116 w 126"/>
                              <a:gd name="T79" fmla="*/ 122 h 152"/>
                              <a:gd name="T80" fmla="*/ 110 w 126"/>
                              <a:gd name="T81" fmla="*/ 132 h 1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6" h="152">
                                <a:moveTo>
                                  <a:pt x="110" y="132"/>
                                </a:moveTo>
                                <a:lnTo>
                                  <a:pt x="110" y="132"/>
                                </a:lnTo>
                                <a:lnTo>
                                  <a:pt x="102" y="140"/>
                                </a:lnTo>
                                <a:lnTo>
                                  <a:pt x="90" y="146"/>
                                </a:lnTo>
                                <a:lnTo>
                                  <a:pt x="78" y="150"/>
                                </a:lnTo>
                                <a:lnTo>
                                  <a:pt x="64" y="152"/>
                                </a:lnTo>
                                <a:lnTo>
                                  <a:pt x="64" y="152"/>
                                </a:lnTo>
                                <a:lnTo>
                                  <a:pt x="50" y="150"/>
                                </a:lnTo>
                                <a:lnTo>
                                  <a:pt x="38" y="146"/>
                                </a:lnTo>
                                <a:lnTo>
                                  <a:pt x="26" y="140"/>
                                </a:lnTo>
                                <a:lnTo>
                                  <a:pt x="18" y="132"/>
                                </a:lnTo>
                                <a:lnTo>
                                  <a:pt x="18" y="132"/>
                                </a:lnTo>
                                <a:lnTo>
                                  <a:pt x="10" y="122"/>
                                </a:lnTo>
                                <a:lnTo>
                                  <a:pt x="4" y="108"/>
                                </a:lnTo>
                                <a:lnTo>
                                  <a:pt x="2" y="94"/>
                                </a:lnTo>
                                <a:lnTo>
                                  <a:pt x="0" y="76"/>
                                </a:lnTo>
                                <a:lnTo>
                                  <a:pt x="0" y="76"/>
                                </a:lnTo>
                                <a:lnTo>
                                  <a:pt x="2" y="60"/>
                                </a:lnTo>
                                <a:lnTo>
                                  <a:pt x="4" y="44"/>
                                </a:lnTo>
                                <a:lnTo>
                                  <a:pt x="10" y="30"/>
                                </a:lnTo>
                                <a:lnTo>
                                  <a:pt x="18" y="20"/>
                                </a:lnTo>
                                <a:lnTo>
                                  <a:pt x="18" y="20"/>
                                </a:lnTo>
                                <a:lnTo>
                                  <a:pt x="26" y="12"/>
                                </a:lnTo>
                                <a:lnTo>
                                  <a:pt x="38" y="4"/>
                                </a:lnTo>
                                <a:lnTo>
                                  <a:pt x="50" y="2"/>
                                </a:lnTo>
                                <a:lnTo>
                                  <a:pt x="64" y="0"/>
                                </a:lnTo>
                                <a:lnTo>
                                  <a:pt x="64" y="0"/>
                                </a:lnTo>
                                <a:lnTo>
                                  <a:pt x="78" y="2"/>
                                </a:lnTo>
                                <a:lnTo>
                                  <a:pt x="90" y="4"/>
                                </a:lnTo>
                                <a:lnTo>
                                  <a:pt x="100" y="10"/>
                                </a:lnTo>
                                <a:lnTo>
                                  <a:pt x="108" y="18"/>
                                </a:lnTo>
                                <a:lnTo>
                                  <a:pt x="108" y="18"/>
                                </a:lnTo>
                                <a:lnTo>
                                  <a:pt x="116" y="30"/>
                                </a:lnTo>
                                <a:lnTo>
                                  <a:pt x="120" y="42"/>
                                </a:lnTo>
                                <a:lnTo>
                                  <a:pt x="124" y="58"/>
                                </a:lnTo>
                                <a:lnTo>
                                  <a:pt x="126" y="76"/>
                                </a:lnTo>
                                <a:lnTo>
                                  <a:pt x="126" y="76"/>
                                </a:lnTo>
                                <a:lnTo>
                                  <a:pt x="124" y="94"/>
                                </a:lnTo>
                                <a:lnTo>
                                  <a:pt x="122" y="108"/>
                                </a:lnTo>
                                <a:lnTo>
                                  <a:pt x="116" y="122"/>
                                </a:lnTo>
                                <a:lnTo>
                                  <a:pt x="110" y="132"/>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46" name="Freeform 46"/>
                        <wps:cNvSpPr>
                          <a:spLocks/>
                        </wps:cNvSpPr>
                        <wps:spPr bwMode="auto">
                          <a:xfrm>
                            <a:off x="3738375" y="565749"/>
                            <a:ext cx="239713" cy="379413"/>
                          </a:xfrm>
                          <a:custGeom>
                            <a:avLst/>
                            <a:gdLst>
                              <a:gd name="T0" fmla="*/ 93 w 151"/>
                              <a:gd name="T1" fmla="*/ 100 h 239"/>
                              <a:gd name="T2" fmla="*/ 62 w 151"/>
                              <a:gd name="T3" fmla="*/ 82 h 239"/>
                              <a:gd name="T4" fmla="*/ 56 w 151"/>
                              <a:gd name="T5" fmla="*/ 76 h 239"/>
                              <a:gd name="T6" fmla="*/ 54 w 151"/>
                              <a:gd name="T7" fmla="*/ 66 h 239"/>
                              <a:gd name="T8" fmla="*/ 62 w 151"/>
                              <a:gd name="T9" fmla="*/ 48 h 239"/>
                              <a:gd name="T10" fmla="*/ 72 w 151"/>
                              <a:gd name="T11" fmla="*/ 44 h 239"/>
                              <a:gd name="T12" fmla="*/ 85 w 151"/>
                              <a:gd name="T13" fmla="*/ 42 h 239"/>
                              <a:gd name="T14" fmla="*/ 113 w 151"/>
                              <a:gd name="T15" fmla="*/ 46 h 239"/>
                              <a:gd name="T16" fmla="*/ 127 w 151"/>
                              <a:gd name="T17" fmla="*/ 52 h 239"/>
                              <a:gd name="T18" fmla="*/ 139 w 151"/>
                              <a:gd name="T19" fmla="*/ 60 h 239"/>
                              <a:gd name="T20" fmla="*/ 139 w 151"/>
                              <a:gd name="T21" fmla="*/ 8 h 239"/>
                              <a:gd name="T22" fmla="*/ 127 w 151"/>
                              <a:gd name="T23" fmla="*/ 4 h 239"/>
                              <a:gd name="T24" fmla="*/ 113 w 151"/>
                              <a:gd name="T25" fmla="*/ 2 h 239"/>
                              <a:gd name="T26" fmla="*/ 87 w 151"/>
                              <a:gd name="T27" fmla="*/ 0 h 239"/>
                              <a:gd name="T28" fmla="*/ 70 w 151"/>
                              <a:gd name="T29" fmla="*/ 0 h 239"/>
                              <a:gd name="T30" fmla="*/ 38 w 151"/>
                              <a:gd name="T31" fmla="*/ 10 h 239"/>
                              <a:gd name="T32" fmla="*/ 24 w 151"/>
                              <a:gd name="T33" fmla="*/ 18 h 239"/>
                              <a:gd name="T34" fmla="*/ 6 w 151"/>
                              <a:gd name="T35" fmla="*/ 42 h 239"/>
                              <a:gd name="T36" fmla="*/ 0 w 151"/>
                              <a:gd name="T37" fmla="*/ 70 h 239"/>
                              <a:gd name="T38" fmla="*/ 0 w 151"/>
                              <a:gd name="T39" fmla="*/ 86 h 239"/>
                              <a:gd name="T40" fmla="*/ 4 w 151"/>
                              <a:gd name="T41" fmla="*/ 98 h 239"/>
                              <a:gd name="T42" fmla="*/ 22 w 151"/>
                              <a:gd name="T43" fmla="*/ 120 h 239"/>
                              <a:gd name="T44" fmla="*/ 36 w 151"/>
                              <a:gd name="T45" fmla="*/ 130 h 239"/>
                              <a:gd name="T46" fmla="*/ 54 w 151"/>
                              <a:gd name="T47" fmla="*/ 138 h 239"/>
                              <a:gd name="T48" fmla="*/ 81 w 151"/>
                              <a:gd name="T49" fmla="*/ 152 h 239"/>
                              <a:gd name="T50" fmla="*/ 93 w 151"/>
                              <a:gd name="T51" fmla="*/ 162 h 239"/>
                              <a:gd name="T52" fmla="*/ 97 w 151"/>
                              <a:gd name="T53" fmla="*/ 168 h 239"/>
                              <a:gd name="T54" fmla="*/ 97 w 151"/>
                              <a:gd name="T55" fmla="*/ 174 h 239"/>
                              <a:gd name="T56" fmla="*/ 95 w 151"/>
                              <a:gd name="T57" fmla="*/ 184 h 239"/>
                              <a:gd name="T58" fmla="*/ 89 w 151"/>
                              <a:gd name="T59" fmla="*/ 192 h 239"/>
                              <a:gd name="T60" fmla="*/ 62 w 151"/>
                              <a:gd name="T61" fmla="*/ 198 h 239"/>
                              <a:gd name="T62" fmla="*/ 48 w 151"/>
                              <a:gd name="T63" fmla="*/ 196 h 239"/>
                              <a:gd name="T64" fmla="*/ 32 w 151"/>
                              <a:gd name="T65" fmla="*/ 192 h 239"/>
                              <a:gd name="T66" fmla="*/ 2 w 151"/>
                              <a:gd name="T67" fmla="*/ 176 h 239"/>
                              <a:gd name="T68" fmla="*/ 0 w 151"/>
                              <a:gd name="T69" fmla="*/ 227 h 239"/>
                              <a:gd name="T70" fmla="*/ 0 w 151"/>
                              <a:gd name="T71" fmla="*/ 227 h 239"/>
                              <a:gd name="T72" fmla="*/ 30 w 151"/>
                              <a:gd name="T73" fmla="*/ 237 h 239"/>
                              <a:gd name="T74" fmla="*/ 46 w 151"/>
                              <a:gd name="T75" fmla="*/ 239 h 239"/>
                              <a:gd name="T76" fmla="*/ 60 w 151"/>
                              <a:gd name="T77" fmla="*/ 239 h 239"/>
                              <a:gd name="T78" fmla="*/ 97 w 151"/>
                              <a:gd name="T79" fmla="*/ 235 h 239"/>
                              <a:gd name="T80" fmla="*/ 127 w 151"/>
                              <a:gd name="T81" fmla="*/ 219 h 239"/>
                              <a:gd name="T82" fmla="*/ 137 w 151"/>
                              <a:gd name="T83" fmla="*/ 209 h 239"/>
                              <a:gd name="T84" fmla="*/ 151 w 151"/>
                              <a:gd name="T85" fmla="*/ 184 h 239"/>
                              <a:gd name="T86" fmla="*/ 151 w 151"/>
                              <a:gd name="T87" fmla="*/ 168 h 239"/>
                              <a:gd name="T88" fmla="*/ 149 w 151"/>
                              <a:gd name="T89" fmla="*/ 146 h 239"/>
                              <a:gd name="T90" fmla="*/ 139 w 151"/>
                              <a:gd name="T91" fmla="*/ 128 h 239"/>
                              <a:gd name="T92" fmla="*/ 131 w 151"/>
                              <a:gd name="T93" fmla="*/ 122 h 239"/>
                              <a:gd name="T94" fmla="*/ 107 w 151"/>
                              <a:gd name="T95" fmla="*/ 106 h 2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51" h="239">
                                <a:moveTo>
                                  <a:pt x="93" y="100"/>
                                </a:moveTo>
                                <a:lnTo>
                                  <a:pt x="93" y="100"/>
                                </a:lnTo>
                                <a:lnTo>
                                  <a:pt x="72" y="90"/>
                                </a:lnTo>
                                <a:lnTo>
                                  <a:pt x="62" y="82"/>
                                </a:lnTo>
                                <a:lnTo>
                                  <a:pt x="62" y="82"/>
                                </a:lnTo>
                                <a:lnTo>
                                  <a:pt x="56" y="76"/>
                                </a:lnTo>
                                <a:lnTo>
                                  <a:pt x="54" y="66"/>
                                </a:lnTo>
                                <a:lnTo>
                                  <a:pt x="54" y="66"/>
                                </a:lnTo>
                                <a:lnTo>
                                  <a:pt x="56" y="56"/>
                                </a:lnTo>
                                <a:lnTo>
                                  <a:pt x="62" y="48"/>
                                </a:lnTo>
                                <a:lnTo>
                                  <a:pt x="62" y="48"/>
                                </a:lnTo>
                                <a:lnTo>
                                  <a:pt x="72" y="44"/>
                                </a:lnTo>
                                <a:lnTo>
                                  <a:pt x="85" y="42"/>
                                </a:lnTo>
                                <a:lnTo>
                                  <a:pt x="85" y="42"/>
                                </a:lnTo>
                                <a:lnTo>
                                  <a:pt x="99" y="44"/>
                                </a:lnTo>
                                <a:lnTo>
                                  <a:pt x="113" y="46"/>
                                </a:lnTo>
                                <a:lnTo>
                                  <a:pt x="113" y="46"/>
                                </a:lnTo>
                                <a:lnTo>
                                  <a:pt x="127" y="52"/>
                                </a:lnTo>
                                <a:lnTo>
                                  <a:pt x="137" y="58"/>
                                </a:lnTo>
                                <a:lnTo>
                                  <a:pt x="139" y="60"/>
                                </a:lnTo>
                                <a:lnTo>
                                  <a:pt x="139" y="10"/>
                                </a:lnTo>
                                <a:lnTo>
                                  <a:pt x="139" y="8"/>
                                </a:lnTo>
                                <a:lnTo>
                                  <a:pt x="139" y="8"/>
                                </a:lnTo>
                                <a:lnTo>
                                  <a:pt x="127" y="4"/>
                                </a:lnTo>
                                <a:lnTo>
                                  <a:pt x="113" y="2"/>
                                </a:lnTo>
                                <a:lnTo>
                                  <a:pt x="113" y="2"/>
                                </a:lnTo>
                                <a:lnTo>
                                  <a:pt x="99" y="0"/>
                                </a:lnTo>
                                <a:lnTo>
                                  <a:pt x="87" y="0"/>
                                </a:lnTo>
                                <a:lnTo>
                                  <a:pt x="87" y="0"/>
                                </a:lnTo>
                                <a:lnTo>
                                  <a:pt x="70" y="0"/>
                                </a:lnTo>
                                <a:lnTo>
                                  <a:pt x="52" y="4"/>
                                </a:lnTo>
                                <a:lnTo>
                                  <a:pt x="38" y="10"/>
                                </a:lnTo>
                                <a:lnTo>
                                  <a:pt x="24" y="18"/>
                                </a:lnTo>
                                <a:lnTo>
                                  <a:pt x="24" y="18"/>
                                </a:lnTo>
                                <a:lnTo>
                                  <a:pt x="14" y="30"/>
                                </a:lnTo>
                                <a:lnTo>
                                  <a:pt x="6" y="42"/>
                                </a:lnTo>
                                <a:lnTo>
                                  <a:pt x="2" y="54"/>
                                </a:lnTo>
                                <a:lnTo>
                                  <a:pt x="0" y="70"/>
                                </a:lnTo>
                                <a:lnTo>
                                  <a:pt x="0" y="70"/>
                                </a:lnTo>
                                <a:lnTo>
                                  <a:pt x="0" y="86"/>
                                </a:lnTo>
                                <a:lnTo>
                                  <a:pt x="4" y="98"/>
                                </a:lnTo>
                                <a:lnTo>
                                  <a:pt x="4" y="98"/>
                                </a:lnTo>
                                <a:lnTo>
                                  <a:pt x="12" y="110"/>
                                </a:lnTo>
                                <a:lnTo>
                                  <a:pt x="22" y="120"/>
                                </a:lnTo>
                                <a:lnTo>
                                  <a:pt x="22" y="120"/>
                                </a:lnTo>
                                <a:lnTo>
                                  <a:pt x="36" y="130"/>
                                </a:lnTo>
                                <a:lnTo>
                                  <a:pt x="54" y="138"/>
                                </a:lnTo>
                                <a:lnTo>
                                  <a:pt x="54" y="138"/>
                                </a:lnTo>
                                <a:lnTo>
                                  <a:pt x="81" y="152"/>
                                </a:lnTo>
                                <a:lnTo>
                                  <a:pt x="81" y="152"/>
                                </a:lnTo>
                                <a:lnTo>
                                  <a:pt x="89" y="156"/>
                                </a:lnTo>
                                <a:lnTo>
                                  <a:pt x="93" y="162"/>
                                </a:lnTo>
                                <a:lnTo>
                                  <a:pt x="93" y="162"/>
                                </a:lnTo>
                                <a:lnTo>
                                  <a:pt x="97" y="168"/>
                                </a:lnTo>
                                <a:lnTo>
                                  <a:pt x="97" y="174"/>
                                </a:lnTo>
                                <a:lnTo>
                                  <a:pt x="97" y="174"/>
                                </a:lnTo>
                                <a:lnTo>
                                  <a:pt x="97" y="180"/>
                                </a:lnTo>
                                <a:lnTo>
                                  <a:pt x="95" y="184"/>
                                </a:lnTo>
                                <a:lnTo>
                                  <a:pt x="93" y="188"/>
                                </a:lnTo>
                                <a:lnTo>
                                  <a:pt x="89" y="192"/>
                                </a:lnTo>
                                <a:lnTo>
                                  <a:pt x="77" y="196"/>
                                </a:lnTo>
                                <a:lnTo>
                                  <a:pt x="62" y="198"/>
                                </a:lnTo>
                                <a:lnTo>
                                  <a:pt x="62" y="198"/>
                                </a:lnTo>
                                <a:lnTo>
                                  <a:pt x="48" y="196"/>
                                </a:lnTo>
                                <a:lnTo>
                                  <a:pt x="32" y="192"/>
                                </a:lnTo>
                                <a:lnTo>
                                  <a:pt x="32" y="192"/>
                                </a:lnTo>
                                <a:lnTo>
                                  <a:pt x="16" y="186"/>
                                </a:lnTo>
                                <a:lnTo>
                                  <a:pt x="2" y="176"/>
                                </a:lnTo>
                                <a:lnTo>
                                  <a:pt x="0" y="174"/>
                                </a:lnTo>
                                <a:lnTo>
                                  <a:pt x="0" y="227"/>
                                </a:lnTo>
                                <a:lnTo>
                                  <a:pt x="0" y="227"/>
                                </a:lnTo>
                                <a:lnTo>
                                  <a:pt x="0" y="227"/>
                                </a:lnTo>
                                <a:lnTo>
                                  <a:pt x="14" y="233"/>
                                </a:lnTo>
                                <a:lnTo>
                                  <a:pt x="30" y="237"/>
                                </a:lnTo>
                                <a:lnTo>
                                  <a:pt x="30" y="237"/>
                                </a:lnTo>
                                <a:lnTo>
                                  <a:pt x="46" y="239"/>
                                </a:lnTo>
                                <a:lnTo>
                                  <a:pt x="60" y="239"/>
                                </a:lnTo>
                                <a:lnTo>
                                  <a:pt x="60" y="239"/>
                                </a:lnTo>
                                <a:lnTo>
                                  <a:pt x="79" y="239"/>
                                </a:lnTo>
                                <a:lnTo>
                                  <a:pt x="97" y="235"/>
                                </a:lnTo>
                                <a:lnTo>
                                  <a:pt x="113" y="229"/>
                                </a:lnTo>
                                <a:lnTo>
                                  <a:pt x="127" y="219"/>
                                </a:lnTo>
                                <a:lnTo>
                                  <a:pt x="127" y="219"/>
                                </a:lnTo>
                                <a:lnTo>
                                  <a:pt x="137" y="209"/>
                                </a:lnTo>
                                <a:lnTo>
                                  <a:pt x="145" y="198"/>
                                </a:lnTo>
                                <a:lnTo>
                                  <a:pt x="151" y="184"/>
                                </a:lnTo>
                                <a:lnTo>
                                  <a:pt x="151" y="168"/>
                                </a:lnTo>
                                <a:lnTo>
                                  <a:pt x="151" y="168"/>
                                </a:lnTo>
                                <a:lnTo>
                                  <a:pt x="151" y="158"/>
                                </a:lnTo>
                                <a:lnTo>
                                  <a:pt x="149" y="146"/>
                                </a:lnTo>
                                <a:lnTo>
                                  <a:pt x="145" y="138"/>
                                </a:lnTo>
                                <a:lnTo>
                                  <a:pt x="139" y="128"/>
                                </a:lnTo>
                                <a:lnTo>
                                  <a:pt x="139" y="128"/>
                                </a:lnTo>
                                <a:lnTo>
                                  <a:pt x="131" y="122"/>
                                </a:lnTo>
                                <a:lnTo>
                                  <a:pt x="121" y="114"/>
                                </a:lnTo>
                                <a:lnTo>
                                  <a:pt x="107" y="106"/>
                                </a:lnTo>
                                <a:lnTo>
                                  <a:pt x="93" y="100"/>
                                </a:lnTo>
                                <a:close/>
                              </a:path>
                            </a:pathLst>
                          </a:custGeom>
                          <a:solidFill>
                            <a:srgbClr val="747474"/>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83" name="Freeform 83"/>
                        <wps:cNvSpPr>
                          <a:spLocks/>
                        </wps:cNvSpPr>
                        <wps:spPr bwMode="auto">
                          <a:xfrm>
                            <a:off x="3738375" y="565749"/>
                            <a:ext cx="239713" cy="379413"/>
                          </a:xfrm>
                          <a:custGeom>
                            <a:avLst/>
                            <a:gdLst>
                              <a:gd name="T0" fmla="*/ 93 w 151"/>
                              <a:gd name="T1" fmla="*/ 100 h 239"/>
                              <a:gd name="T2" fmla="*/ 62 w 151"/>
                              <a:gd name="T3" fmla="*/ 82 h 239"/>
                              <a:gd name="T4" fmla="*/ 56 w 151"/>
                              <a:gd name="T5" fmla="*/ 76 h 239"/>
                              <a:gd name="T6" fmla="*/ 54 w 151"/>
                              <a:gd name="T7" fmla="*/ 66 h 239"/>
                              <a:gd name="T8" fmla="*/ 62 w 151"/>
                              <a:gd name="T9" fmla="*/ 48 h 239"/>
                              <a:gd name="T10" fmla="*/ 72 w 151"/>
                              <a:gd name="T11" fmla="*/ 44 h 239"/>
                              <a:gd name="T12" fmla="*/ 85 w 151"/>
                              <a:gd name="T13" fmla="*/ 42 h 239"/>
                              <a:gd name="T14" fmla="*/ 113 w 151"/>
                              <a:gd name="T15" fmla="*/ 46 h 239"/>
                              <a:gd name="T16" fmla="*/ 127 w 151"/>
                              <a:gd name="T17" fmla="*/ 52 h 239"/>
                              <a:gd name="T18" fmla="*/ 139 w 151"/>
                              <a:gd name="T19" fmla="*/ 60 h 239"/>
                              <a:gd name="T20" fmla="*/ 139 w 151"/>
                              <a:gd name="T21" fmla="*/ 8 h 239"/>
                              <a:gd name="T22" fmla="*/ 127 w 151"/>
                              <a:gd name="T23" fmla="*/ 4 h 239"/>
                              <a:gd name="T24" fmla="*/ 113 w 151"/>
                              <a:gd name="T25" fmla="*/ 2 h 239"/>
                              <a:gd name="T26" fmla="*/ 87 w 151"/>
                              <a:gd name="T27" fmla="*/ 0 h 239"/>
                              <a:gd name="T28" fmla="*/ 70 w 151"/>
                              <a:gd name="T29" fmla="*/ 0 h 239"/>
                              <a:gd name="T30" fmla="*/ 38 w 151"/>
                              <a:gd name="T31" fmla="*/ 10 h 239"/>
                              <a:gd name="T32" fmla="*/ 24 w 151"/>
                              <a:gd name="T33" fmla="*/ 18 h 239"/>
                              <a:gd name="T34" fmla="*/ 6 w 151"/>
                              <a:gd name="T35" fmla="*/ 42 h 239"/>
                              <a:gd name="T36" fmla="*/ 0 w 151"/>
                              <a:gd name="T37" fmla="*/ 70 h 239"/>
                              <a:gd name="T38" fmla="*/ 0 w 151"/>
                              <a:gd name="T39" fmla="*/ 86 h 239"/>
                              <a:gd name="T40" fmla="*/ 4 w 151"/>
                              <a:gd name="T41" fmla="*/ 98 h 239"/>
                              <a:gd name="T42" fmla="*/ 22 w 151"/>
                              <a:gd name="T43" fmla="*/ 120 h 239"/>
                              <a:gd name="T44" fmla="*/ 36 w 151"/>
                              <a:gd name="T45" fmla="*/ 130 h 239"/>
                              <a:gd name="T46" fmla="*/ 54 w 151"/>
                              <a:gd name="T47" fmla="*/ 138 h 239"/>
                              <a:gd name="T48" fmla="*/ 81 w 151"/>
                              <a:gd name="T49" fmla="*/ 152 h 239"/>
                              <a:gd name="T50" fmla="*/ 93 w 151"/>
                              <a:gd name="T51" fmla="*/ 162 h 239"/>
                              <a:gd name="T52" fmla="*/ 97 w 151"/>
                              <a:gd name="T53" fmla="*/ 168 h 239"/>
                              <a:gd name="T54" fmla="*/ 97 w 151"/>
                              <a:gd name="T55" fmla="*/ 174 h 239"/>
                              <a:gd name="T56" fmla="*/ 95 w 151"/>
                              <a:gd name="T57" fmla="*/ 184 h 239"/>
                              <a:gd name="T58" fmla="*/ 89 w 151"/>
                              <a:gd name="T59" fmla="*/ 192 h 239"/>
                              <a:gd name="T60" fmla="*/ 62 w 151"/>
                              <a:gd name="T61" fmla="*/ 198 h 239"/>
                              <a:gd name="T62" fmla="*/ 48 w 151"/>
                              <a:gd name="T63" fmla="*/ 196 h 239"/>
                              <a:gd name="T64" fmla="*/ 32 w 151"/>
                              <a:gd name="T65" fmla="*/ 192 h 239"/>
                              <a:gd name="T66" fmla="*/ 2 w 151"/>
                              <a:gd name="T67" fmla="*/ 176 h 239"/>
                              <a:gd name="T68" fmla="*/ 0 w 151"/>
                              <a:gd name="T69" fmla="*/ 227 h 239"/>
                              <a:gd name="T70" fmla="*/ 0 w 151"/>
                              <a:gd name="T71" fmla="*/ 227 h 239"/>
                              <a:gd name="T72" fmla="*/ 30 w 151"/>
                              <a:gd name="T73" fmla="*/ 237 h 239"/>
                              <a:gd name="T74" fmla="*/ 46 w 151"/>
                              <a:gd name="T75" fmla="*/ 239 h 239"/>
                              <a:gd name="T76" fmla="*/ 60 w 151"/>
                              <a:gd name="T77" fmla="*/ 239 h 239"/>
                              <a:gd name="T78" fmla="*/ 97 w 151"/>
                              <a:gd name="T79" fmla="*/ 235 h 239"/>
                              <a:gd name="T80" fmla="*/ 127 w 151"/>
                              <a:gd name="T81" fmla="*/ 219 h 239"/>
                              <a:gd name="T82" fmla="*/ 137 w 151"/>
                              <a:gd name="T83" fmla="*/ 209 h 239"/>
                              <a:gd name="T84" fmla="*/ 151 w 151"/>
                              <a:gd name="T85" fmla="*/ 184 h 239"/>
                              <a:gd name="T86" fmla="*/ 151 w 151"/>
                              <a:gd name="T87" fmla="*/ 168 h 239"/>
                              <a:gd name="T88" fmla="*/ 149 w 151"/>
                              <a:gd name="T89" fmla="*/ 146 h 239"/>
                              <a:gd name="T90" fmla="*/ 139 w 151"/>
                              <a:gd name="T91" fmla="*/ 128 h 239"/>
                              <a:gd name="T92" fmla="*/ 131 w 151"/>
                              <a:gd name="T93" fmla="*/ 122 h 239"/>
                              <a:gd name="T94" fmla="*/ 107 w 151"/>
                              <a:gd name="T95" fmla="*/ 106 h 2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51" h="239">
                                <a:moveTo>
                                  <a:pt x="93" y="100"/>
                                </a:moveTo>
                                <a:lnTo>
                                  <a:pt x="93" y="100"/>
                                </a:lnTo>
                                <a:lnTo>
                                  <a:pt x="72" y="90"/>
                                </a:lnTo>
                                <a:lnTo>
                                  <a:pt x="62" y="82"/>
                                </a:lnTo>
                                <a:lnTo>
                                  <a:pt x="62" y="82"/>
                                </a:lnTo>
                                <a:lnTo>
                                  <a:pt x="56" y="76"/>
                                </a:lnTo>
                                <a:lnTo>
                                  <a:pt x="54" y="66"/>
                                </a:lnTo>
                                <a:lnTo>
                                  <a:pt x="54" y="66"/>
                                </a:lnTo>
                                <a:lnTo>
                                  <a:pt x="56" y="56"/>
                                </a:lnTo>
                                <a:lnTo>
                                  <a:pt x="62" y="48"/>
                                </a:lnTo>
                                <a:lnTo>
                                  <a:pt x="62" y="48"/>
                                </a:lnTo>
                                <a:lnTo>
                                  <a:pt x="72" y="44"/>
                                </a:lnTo>
                                <a:lnTo>
                                  <a:pt x="85" y="42"/>
                                </a:lnTo>
                                <a:lnTo>
                                  <a:pt x="85" y="42"/>
                                </a:lnTo>
                                <a:lnTo>
                                  <a:pt x="99" y="44"/>
                                </a:lnTo>
                                <a:lnTo>
                                  <a:pt x="113" y="46"/>
                                </a:lnTo>
                                <a:lnTo>
                                  <a:pt x="113" y="46"/>
                                </a:lnTo>
                                <a:lnTo>
                                  <a:pt x="127" y="52"/>
                                </a:lnTo>
                                <a:lnTo>
                                  <a:pt x="137" y="58"/>
                                </a:lnTo>
                                <a:lnTo>
                                  <a:pt x="139" y="60"/>
                                </a:lnTo>
                                <a:lnTo>
                                  <a:pt x="139" y="10"/>
                                </a:lnTo>
                                <a:lnTo>
                                  <a:pt x="139" y="8"/>
                                </a:lnTo>
                                <a:lnTo>
                                  <a:pt x="139" y="8"/>
                                </a:lnTo>
                                <a:lnTo>
                                  <a:pt x="127" y="4"/>
                                </a:lnTo>
                                <a:lnTo>
                                  <a:pt x="113" y="2"/>
                                </a:lnTo>
                                <a:lnTo>
                                  <a:pt x="113" y="2"/>
                                </a:lnTo>
                                <a:lnTo>
                                  <a:pt x="99" y="0"/>
                                </a:lnTo>
                                <a:lnTo>
                                  <a:pt x="87" y="0"/>
                                </a:lnTo>
                                <a:lnTo>
                                  <a:pt x="87" y="0"/>
                                </a:lnTo>
                                <a:lnTo>
                                  <a:pt x="70" y="0"/>
                                </a:lnTo>
                                <a:lnTo>
                                  <a:pt x="52" y="4"/>
                                </a:lnTo>
                                <a:lnTo>
                                  <a:pt x="38" y="10"/>
                                </a:lnTo>
                                <a:lnTo>
                                  <a:pt x="24" y="18"/>
                                </a:lnTo>
                                <a:lnTo>
                                  <a:pt x="24" y="18"/>
                                </a:lnTo>
                                <a:lnTo>
                                  <a:pt x="14" y="30"/>
                                </a:lnTo>
                                <a:lnTo>
                                  <a:pt x="6" y="42"/>
                                </a:lnTo>
                                <a:lnTo>
                                  <a:pt x="2" y="54"/>
                                </a:lnTo>
                                <a:lnTo>
                                  <a:pt x="0" y="70"/>
                                </a:lnTo>
                                <a:lnTo>
                                  <a:pt x="0" y="70"/>
                                </a:lnTo>
                                <a:lnTo>
                                  <a:pt x="0" y="86"/>
                                </a:lnTo>
                                <a:lnTo>
                                  <a:pt x="4" y="98"/>
                                </a:lnTo>
                                <a:lnTo>
                                  <a:pt x="4" y="98"/>
                                </a:lnTo>
                                <a:lnTo>
                                  <a:pt x="12" y="110"/>
                                </a:lnTo>
                                <a:lnTo>
                                  <a:pt x="22" y="120"/>
                                </a:lnTo>
                                <a:lnTo>
                                  <a:pt x="22" y="120"/>
                                </a:lnTo>
                                <a:lnTo>
                                  <a:pt x="36" y="130"/>
                                </a:lnTo>
                                <a:lnTo>
                                  <a:pt x="54" y="138"/>
                                </a:lnTo>
                                <a:lnTo>
                                  <a:pt x="54" y="138"/>
                                </a:lnTo>
                                <a:lnTo>
                                  <a:pt x="81" y="152"/>
                                </a:lnTo>
                                <a:lnTo>
                                  <a:pt x="81" y="152"/>
                                </a:lnTo>
                                <a:lnTo>
                                  <a:pt x="89" y="156"/>
                                </a:lnTo>
                                <a:lnTo>
                                  <a:pt x="93" y="162"/>
                                </a:lnTo>
                                <a:lnTo>
                                  <a:pt x="93" y="162"/>
                                </a:lnTo>
                                <a:lnTo>
                                  <a:pt x="97" y="168"/>
                                </a:lnTo>
                                <a:lnTo>
                                  <a:pt x="97" y="174"/>
                                </a:lnTo>
                                <a:lnTo>
                                  <a:pt x="97" y="174"/>
                                </a:lnTo>
                                <a:lnTo>
                                  <a:pt x="97" y="180"/>
                                </a:lnTo>
                                <a:lnTo>
                                  <a:pt x="95" y="184"/>
                                </a:lnTo>
                                <a:lnTo>
                                  <a:pt x="93" y="188"/>
                                </a:lnTo>
                                <a:lnTo>
                                  <a:pt x="89" y="192"/>
                                </a:lnTo>
                                <a:lnTo>
                                  <a:pt x="77" y="196"/>
                                </a:lnTo>
                                <a:lnTo>
                                  <a:pt x="62" y="198"/>
                                </a:lnTo>
                                <a:lnTo>
                                  <a:pt x="62" y="198"/>
                                </a:lnTo>
                                <a:lnTo>
                                  <a:pt x="48" y="196"/>
                                </a:lnTo>
                                <a:lnTo>
                                  <a:pt x="32" y="192"/>
                                </a:lnTo>
                                <a:lnTo>
                                  <a:pt x="32" y="192"/>
                                </a:lnTo>
                                <a:lnTo>
                                  <a:pt x="16" y="186"/>
                                </a:lnTo>
                                <a:lnTo>
                                  <a:pt x="2" y="176"/>
                                </a:lnTo>
                                <a:lnTo>
                                  <a:pt x="0" y="174"/>
                                </a:lnTo>
                                <a:lnTo>
                                  <a:pt x="0" y="227"/>
                                </a:lnTo>
                                <a:lnTo>
                                  <a:pt x="0" y="227"/>
                                </a:lnTo>
                                <a:lnTo>
                                  <a:pt x="0" y="227"/>
                                </a:lnTo>
                                <a:lnTo>
                                  <a:pt x="14" y="233"/>
                                </a:lnTo>
                                <a:lnTo>
                                  <a:pt x="30" y="237"/>
                                </a:lnTo>
                                <a:lnTo>
                                  <a:pt x="30" y="237"/>
                                </a:lnTo>
                                <a:lnTo>
                                  <a:pt x="46" y="239"/>
                                </a:lnTo>
                                <a:lnTo>
                                  <a:pt x="60" y="239"/>
                                </a:lnTo>
                                <a:lnTo>
                                  <a:pt x="60" y="239"/>
                                </a:lnTo>
                                <a:lnTo>
                                  <a:pt x="79" y="239"/>
                                </a:lnTo>
                                <a:lnTo>
                                  <a:pt x="97" y="235"/>
                                </a:lnTo>
                                <a:lnTo>
                                  <a:pt x="113" y="229"/>
                                </a:lnTo>
                                <a:lnTo>
                                  <a:pt x="127" y="219"/>
                                </a:lnTo>
                                <a:lnTo>
                                  <a:pt x="127" y="219"/>
                                </a:lnTo>
                                <a:lnTo>
                                  <a:pt x="137" y="209"/>
                                </a:lnTo>
                                <a:lnTo>
                                  <a:pt x="145" y="198"/>
                                </a:lnTo>
                                <a:lnTo>
                                  <a:pt x="151" y="184"/>
                                </a:lnTo>
                                <a:lnTo>
                                  <a:pt x="151" y="168"/>
                                </a:lnTo>
                                <a:lnTo>
                                  <a:pt x="151" y="168"/>
                                </a:lnTo>
                                <a:lnTo>
                                  <a:pt x="151" y="158"/>
                                </a:lnTo>
                                <a:lnTo>
                                  <a:pt x="149" y="146"/>
                                </a:lnTo>
                                <a:lnTo>
                                  <a:pt x="145" y="138"/>
                                </a:lnTo>
                                <a:lnTo>
                                  <a:pt x="139" y="128"/>
                                </a:lnTo>
                                <a:lnTo>
                                  <a:pt x="139" y="128"/>
                                </a:lnTo>
                                <a:lnTo>
                                  <a:pt x="131" y="122"/>
                                </a:lnTo>
                                <a:lnTo>
                                  <a:pt x="121" y="114"/>
                                </a:lnTo>
                                <a:lnTo>
                                  <a:pt x="107" y="106"/>
                                </a:lnTo>
                                <a:lnTo>
                                  <a:pt x="93" y="10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88" name="Freeform 88"/>
                        <wps:cNvSpPr>
                          <a:spLocks noEditPoints="1"/>
                        </wps:cNvSpPr>
                        <wps:spPr bwMode="auto">
                          <a:xfrm>
                            <a:off x="4016187" y="565749"/>
                            <a:ext cx="377825" cy="379413"/>
                          </a:xfrm>
                          <a:custGeom>
                            <a:avLst/>
                            <a:gdLst>
                              <a:gd name="T0" fmla="*/ 122 w 238"/>
                              <a:gd name="T1" fmla="*/ 0 h 239"/>
                              <a:gd name="T2" fmla="*/ 72 w 238"/>
                              <a:gd name="T3" fmla="*/ 8 h 239"/>
                              <a:gd name="T4" fmla="*/ 50 w 238"/>
                              <a:gd name="T5" fmla="*/ 18 h 239"/>
                              <a:gd name="T6" fmla="*/ 32 w 238"/>
                              <a:gd name="T7" fmla="*/ 32 h 239"/>
                              <a:gd name="T8" fmla="*/ 26 w 238"/>
                              <a:gd name="T9" fmla="*/ 40 h 239"/>
                              <a:gd name="T10" fmla="*/ 14 w 238"/>
                              <a:gd name="T11" fmla="*/ 60 h 239"/>
                              <a:gd name="T12" fmla="*/ 2 w 238"/>
                              <a:gd name="T13" fmla="*/ 96 h 239"/>
                              <a:gd name="T14" fmla="*/ 0 w 238"/>
                              <a:gd name="T15" fmla="*/ 122 h 239"/>
                              <a:gd name="T16" fmla="*/ 8 w 238"/>
                              <a:gd name="T17" fmla="*/ 172 h 239"/>
                              <a:gd name="T18" fmla="*/ 24 w 238"/>
                              <a:gd name="T19" fmla="*/ 200 h 239"/>
                              <a:gd name="T20" fmla="*/ 32 w 238"/>
                              <a:gd name="T21" fmla="*/ 208 h 239"/>
                              <a:gd name="T22" fmla="*/ 50 w 238"/>
                              <a:gd name="T23" fmla="*/ 221 h 239"/>
                              <a:gd name="T24" fmla="*/ 92 w 238"/>
                              <a:gd name="T25" fmla="*/ 237 h 239"/>
                              <a:gd name="T26" fmla="*/ 116 w 238"/>
                              <a:gd name="T27" fmla="*/ 239 h 239"/>
                              <a:gd name="T28" fmla="*/ 166 w 238"/>
                              <a:gd name="T29" fmla="*/ 231 h 239"/>
                              <a:gd name="T30" fmla="*/ 188 w 238"/>
                              <a:gd name="T31" fmla="*/ 221 h 239"/>
                              <a:gd name="T32" fmla="*/ 204 w 238"/>
                              <a:gd name="T33" fmla="*/ 208 h 239"/>
                              <a:gd name="T34" fmla="*/ 212 w 238"/>
                              <a:gd name="T35" fmla="*/ 198 h 239"/>
                              <a:gd name="T36" fmla="*/ 224 w 238"/>
                              <a:gd name="T37" fmla="*/ 178 h 239"/>
                              <a:gd name="T38" fmla="*/ 236 w 238"/>
                              <a:gd name="T39" fmla="*/ 144 h 239"/>
                              <a:gd name="T40" fmla="*/ 238 w 238"/>
                              <a:gd name="T41" fmla="*/ 118 h 239"/>
                              <a:gd name="T42" fmla="*/ 230 w 238"/>
                              <a:gd name="T43" fmla="*/ 68 h 239"/>
                              <a:gd name="T44" fmla="*/ 214 w 238"/>
                              <a:gd name="T45" fmla="*/ 38 h 239"/>
                              <a:gd name="T46" fmla="*/ 206 w 238"/>
                              <a:gd name="T47" fmla="*/ 30 h 239"/>
                              <a:gd name="T48" fmla="*/ 190 w 238"/>
                              <a:gd name="T49" fmla="*/ 16 h 239"/>
                              <a:gd name="T50" fmla="*/ 170 w 238"/>
                              <a:gd name="T51" fmla="*/ 6 h 239"/>
                              <a:gd name="T52" fmla="*/ 122 w 238"/>
                              <a:gd name="T53" fmla="*/ 0 h 239"/>
                              <a:gd name="T54" fmla="*/ 166 w 238"/>
                              <a:gd name="T55" fmla="*/ 176 h 239"/>
                              <a:gd name="T56" fmla="*/ 146 w 238"/>
                              <a:gd name="T57" fmla="*/ 190 h 239"/>
                              <a:gd name="T58" fmla="*/ 120 w 238"/>
                              <a:gd name="T59" fmla="*/ 196 h 239"/>
                              <a:gd name="T60" fmla="*/ 106 w 238"/>
                              <a:gd name="T61" fmla="*/ 194 h 239"/>
                              <a:gd name="T62" fmla="*/ 82 w 238"/>
                              <a:gd name="T63" fmla="*/ 184 h 239"/>
                              <a:gd name="T64" fmla="*/ 74 w 238"/>
                              <a:gd name="T65" fmla="*/ 176 h 239"/>
                              <a:gd name="T66" fmla="*/ 60 w 238"/>
                              <a:gd name="T67" fmla="*/ 152 h 239"/>
                              <a:gd name="T68" fmla="*/ 56 w 238"/>
                              <a:gd name="T69" fmla="*/ 120 h 239"/>
                              <a:gd name="T70" fmla="*/ 58 w 238"/>
                              <a:gd name="T71" fmla="*/ 104 h 239"/>
                              <a:gd name="T72" fmla="*/ 66 w 238"/>
                              <a:gd name="T73" fmla="*/ 74 h 239"/>
                              <a:gd name="T74" fmla="*/ 74 w 238"/>
                              <a:gd name="T75" fmla="*/ 64 h 239"/>
                              <a:gd name="T76" fmla="*/ 94 w 238"/>
                              <a:gd name="T77" fmla="*/ 48 h 239"/>
                              <a:gd name="T78" fmla="*/ 120 w 238"/>
                              <a:gd name="T79" fmla="*/ 44 h 239"/>
                              <a:gd name="T80" fmla="*/ 134 w 238"/>
                              <a:gd name="T81" fmla="*/ 46 h 239"/>
                              <a:gd name="T82" fmla="*/ 156 w 238"/>
                              <a:gd name="T83" fmla="*/ 54 h 239"/>
                              <a:gd name="T84" fmla="*/ 164 w 238"/>
                              <a:gd name="T85" fmla="*/ 62 h 239"/>
                              <a:gd name="T86" fmla="*/ 176 w 238"/>
                              <a:gd name="T87" fmla="*/ 86 h 239"/>
                              <a:gd name="T88" fmla="*/ 182 w 238"/>
                              <a:gd name="T89" fmla="*/ 120 h 239"/>
                              <a:gd name="T90" fmla="*/ 180 w 238"/>
                              <a:gd name="T91" fmla="*/ 138 h 239"/>
                              <a:gd name="T92" fmla="*/ 172 w 238"/>
                              <a:gd name="T93" fmla="*/ 166 h 2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38" h="239">
                                <a:moveTo>
                                  <a:pt x="122" y="0"/>
                                </a:moveTo>
                                <a:lnTo>
                                  <a:pt x="122" y="0"/>
                                </a:lnTo>
                                <a:lnTo>
                                  <a:pt x="96" y="2"/>
                                </a:lnTo>
                                <a:lnTo>
                                  <a:pt x="72" y="8"/>
                                </a:lnTo>
                                <a:lnTo>
                                  <a:pt x="60" y="12"/>
                                </a:lnTo>
                                <a:lnTo>
                                  <a:pt x="50" y="18"/>
                                </a:lnTo>
                                <a:lnTo>
                                  <a:pt x="42" y="24"/>
                                </a:lnTo>
                                <a:lnTo>
                                  <a:pt x="32" y="32"/>
                                </a:lnTo>
                                <a:lnTo>
                                  <a:pt x="32" y="32"/>
                                </a:lnTo>
                                <a:lnTo>
                                  <a:pt x="26" y="40"/>
                                </a:lnTo>
                                <a:lnTo>
                                  <a:pt x="18" y="50"/>
                                </a:lnTo>
                                <a:lnTo>
                                  <a:pt x="14" y="60"/>
                                </a:lnTo>
                                <a:lnTo>
                                  <a:pt x="8" y="72"/>
                                </a:lnTo>
                                <a:lnTo>
                                  <a:pt x="2" y="96"/>
                                </a:lnTo>
                                <a:lnTo>
                                  <a:pt x="0" y="122"/>
                                </a:lnTo>
                                <a:lnTo>
                                  <a:pt x="0" y="122"/>
                                </a:lnTo>
                                <a:lnTo>
                                  <a:pt x="2" y="148"/>
                                </a:lnTo>
                                <a:lnTo>
                                  <a:pt x="8" y="172"/>
                                </a:lnTo>
                                <a:lnTo>
                                  <a:pt x="18" y="192"/>
                                </a:lnTo>
                                <a:lnTo>
                                  <a:pt x="24" y="200"/>
                                </a:lnTo>
                                <a:lnTo>
                                  <a:pt x="32" y="208"/>
                                </a:lnTo>
                                <a:lnTo>
                                  <a:pt x="32" y="208"/>
                                </a:lnTo>
                                <a:lnTo>
                                  <a:pt x="40" y="215"/>
                                </a:lnTo>
                                <a:lnTo>
                                  <a:pt x="50" y="221"/>
                                </a:lnTo>
                                <a:lnTo>
                                  <a:pt x="70" y="231"/>
                                </a:lnTo>
                                <a:lnTo>
                                  <a:pt x="92" y="237"/>
                                </a:lnTo>
                                <a:lnTo>
                                  <a:pt x="116" y="239"/>
                                </a:lnTo>
                                <a:lnTo>
                                  <a:pt x="116" y="239"/>
                                </a:lnTo>
                                <a:lnTo>
                                  <a:pt x="144" y="237"/>
                                </a:lnTo>
                                <a:lnTo>
                                  <a:pt x="166" y="231"/>
                                </a:lnTo>
                                <a:lnTo>
                                  <a:pt x="178" y="227"/>
                                </a:lnTo>
                                <a:lnTo>
                                  <a:pt x="188" y="221"/>
                                </a:lnTo>
                                <a:lnTo>
                                  <a:pt x="196" y="213"/>
                                </a:lnTo>
                                <a:lnTo>
                                  <a:pt x="204" y="208"/>
                                </a:lnTo>
                                <a:lnTo>
                                  <a:pt x="204" y="208"/>
                                </a:lnTo>
                                <a:lnTo>
                                  <a:pt x="212" y="198"/>
                                </a:lnTo>
                                <a:lnTo>
                                  <a:pt x="220" y="188"/>
                                </a:lnTo>
                                <a:lnTo>
                                  <a:pt x="224" y="178"/>
                                </a:lnTo>
                                <a:lnTo>
                                  <a:pt x="230" y="168"/>
                                </a:lnTo>
                                <a:lnTo>
                                  <a:pt x="236" y="144"/>
                                </a:lnTo>
                                <a:lnTo>
                                  <a:pt x="238" y="118"/>
                                </a:lnTo>
                                <a:lnTo>
                                  <a:pt x="238" y="118"/>
                                </a:lnTo>
                                <a:lnTo>
                                  <a:pt x="236" y="92"/>
                                </a:lnTo>
                                <a:lnTo>
                                  <a:pt x="230" y="68"/>
                                </a:lnTo>
                                <a:lnTo>
                                  <a:pt x="220" y="48"/>
                                </a:lnTo>
                                <a:lnTo>
                                  <a:pt x="214" y="38"/>
                                </a:lnTo>
                                <a:lnTo>
                                  <a:pt x="206" y="30"/>
                                </a:lnTo>
                                <a:lnTo>
                                  <a:pt x="206" y="30"/>
                                </a:lnTo>
                                <a:lnTo>
                                  <a:pt x="198" y="24"/>
                                </a:lnTo>
                                <a:lnTo>
                                  <a:pt x="190" y="16"/>
                                </a:lnTo>
                                <a:lnTo>
                                  <a:pt x="180" y="12"/>
                                </a:lnTo>
                                <a:lnTo>
                                  <a:pt x="170" y="6"/>
                                </a:lnTo>
                                <a:lnTo>
                                  <a:pt x="148" y="2"/>
                                </a:lnTo>
                                <a:lnTo>
                                  <a:pt x="122" y="0"/>
                                </a:lnTo>
                                <a:close/>
                                <a:moveTo>
                                  <a:pt x="166" y="176"/>
                                </a:moveTo>
                                <a:lnTo>
                                  <a:pt x="166" y="176"/>
                                </a:lnTo>
                                <a:lnTo>
                                  <a:pt x="158" y="184"/>
                                </a:lnTo>
                                <a:lnTo>
                                  <a:pt x="146" y="190"/>
                                </a:lnTo>
                                <a:lnTo>
                                  <a:pt x="134" y="194"/>
                                </a:lnTo>
                                <a:lnTo>
                                  <a:pt x="120" y="196"/>
                                </a:lnTo>
                                <a:lnTo>
                                  <a:pt x="120" y="196"/>
                                </a:lnTo>
                                <a:lnTo>
                                  <a:pt x="106" y="194"/>
                                </a:lnTo>
                                <a:lnTo>
                                  <a:pt x="94" y="190"/>
                                </a:lnTo>
                                <a:lnTo>
                                  <a:pt x="82" y="184"/>
                                </a:lnTo>
                                <a:lnTo>
                                  <a:pt x="74" y="176"/>
                                </a:lnTo>
                                <a:lnTo>
                                  <a:pt x="74" y="176"/>
                                </a:lnTo>
                                <a:lnTo>
                                  <a:pt x="66" y="166"/>
                                </a:lnTo>
                                <a:lnTo>
                                  <a:pt x="60" y="152"/>
                                </a:lnTo>
                                <a:lnTo>
                                  <a:pt x="58" y="138"/>
                                </a:lnTo>
                                <a:lnTo>
                                  <a:pt x="56" y="120"/>
                                </a:lnTo>
                                <a:lnTo>
                                  <a:pt x="56" y="120"/>
                                </a:lnTo>
                                <a:lnTo>
                                  <a:pt x="58" y="104"/>
                                </a:lnTo>
                                <a:lnTo>
                                  <a:pt x="60" y="88"/>
                                </a:lnTo>
                                <a:lnTo>
                                  <a:pt x="66" y="74"/>
                                </a:lnTo>
                                <a:lnTo>
                                  <a:pt x="74" y="64"/>
                                </a:lnTo>
                                <a:lnTo>
                                  <a:pt x="74" y="64"/>
                                </a:lnTo>
                                <a:lnTo>
                                  <a:pt x="82" y="56"/>
                                </a:lnTo>
                                <a:lnTo>
                                  <a:pt x="94" y="48"/>
                                </a:lnTo>
                                <a:lnTo>
                                  <a:pt x="106" y="46"/>
                                </a:lnTo>
                                <a:lnTo>
                                  <a:pt x="120" y="44"/>
                                </a:lnTo>
                                <a:lnTo>
                                  <a:pt x="120" y="44"/>
                                </a:lnTo>
                                <a:lnTo>
                                  <a:pt x="134" y="46"/>
                                </a:lnTo>
                                <a:lnTo>
                                  <a:pt x="146" y="48"/>
                                </a:lnTo>
                                <a:lnTo>
                                  <a:pt x="156" y="54"/>
                                </a:lnTo>
                                <a:lnTo>
                                  <a:pt x="164" y="62"/>
                                </a:lnTo>
                                <a:lnTo>
                                  <a:pt x="164" y="62"/>
                                </a:lnTo>
                                <a:lnTo>
                                  <a:pt x="172" y="74"/>
                                </a:lnTo>
                                <a:lnTo>
                                  <a:pt x="176" y="86"/>
                                </a:lnTo>
                                <a:lnTo>
                                  <a:pt x="180" y="102"/>
                                </a:lnTo>
                                <a:lnTo>
                                  <a:pt x="182" y="120"/>
                                </a:lnTo>
                                <a:lnTo>
                                  <a:pt x="182" y="120"/>
                                </a:lnTo>
                                <a:lnTo>
                                  <a:pt x="180" y="138"/>
                                </a:lnTo>
                                <a:lnTo>
                                  <a:pt x="178" y="152"/>
                                </a:lnTo>
                                <a:lnTo>
                                  <a:pt x="172" y="166"/>
                                </a:lnTo>
                                <a:lnTo>
                                  <a:pt x="166" y="176"/>
                                </a:lnTo>
                                <a:close/>
                              </a:path>
                            </a:pathLst>
                          </a:custGeom>
                          <a:solidFill>
                            <a:srgbClr val="747474"/>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0" name="Freeform 100"/>
                        <wps:cNvSpPr>
                          <a:spLocks/>
                        </wps:cNvSpPr>
                        <wps:spPr bwMode="auto">
                          <a:xfrm>
                            <a:off x="4016187" y="565749"/>
                            <a:ext cx="377825" cy="379413"/>
                          </a:xfrm>
                          <a:custGeom>
                            <a:avLst/>
                            <a:gdLst>
                              <a:gd name="T0" fmla="*/ 122 w 238"/>
                              <a:gd name="T1" fmla="*/ 0 h 239"/>
                              <a:gd name="T2" fmla="*/ 122 w 238"/>
                              <a:gd name="T3" fmla="*/ 0 h 239"/>
                              <a:gd name="T4" fmla="*/ 96 w 238"/>
                              <a:gd name="T5" fmla="*/ 2 h 239"/>
                              <a:gd name="T6" fmla="*/ 72 w 238"/>
                              <a:gd name="T7" fmla="*/ 8 h 239"/>
                              <a:gd name="T8" fmla="*/ 60 w 238"/>
                              <a:gd name="T9" fmla="*/ 12 h 239"/>
                              <a:gd name="T10" fmla="*/ 50 w 238"/>
                              <a:gd name="T11" fmla="*/ 18 h 239"/>
                              <a:gd name="T12" fmla="*/ 42 w 238"/>
                              <a:gd name="T13" fmla="*/ 24 h 239"/>
                              <a:gd name="T14" fmla="*/ 32 w 238"/>
                              <a:gd name="T15" fmla="*/ 32 h 239"/>
                              <a:gd name="T16" fmla="*/ 32 w 238"/>
                              <a:gd name="T17" fmla="*/ 32 h 239"/>
                              <a:gd name="T18" fmla="*/ 26 w 238"/>
                              <a:gd name="T19" fmla="*/ 40 h 239"/>
                              <a:gd name="T20" fmla="*/ 18 w 238"/>
                              <a:gd name="T21" fmla="*/ 50 h 239"/>
                              <a:gd name="T22" fmla="*/ 14 w 238"/>
                              <a:gd name="T23" fmla="*/ 60 h 239"/>
                              <a:gd name="T24" fmla="*/ 8 w 238"/>
                              <a:gd name="T25" fmla="*/ 72 h 239"/>
                              <a:gd name="T26" fmla="*/ 2 w 238"/>
                              <a:gd name="T27" fmla="*/ 96 h 239"/>
                              <a:gd name="T28" fmla="*/ 0 w 238"/>
                              <a:gd name="T29" fmla="*/ 122 h 239"/>
                              <a:gd name="T30" fmla="*/ 0 w 238"/>
                              <a:gd name="T31" fmla="*/ 122 h 239"/>
                              <a:gd name="T32" fmla="*/ 2 w 238"/>
                              <a:gd name="T33" fmla="*/ 148 h 239"/>
                              <a:gd name="T34" fmla="*/ 8 w 238"/>
                              <a:gd name="T35" fmla="*/ 172 h 239"/>
                              <a:gd name="T36" fmla="*/ 18 w 238"/>
                              <a:gd name="T37" fmla="*/ 192 h 239"/>
                              <a:gd name="T38" fmla="*/ 24 w 238"/>
                              <a:gd name="T39" fmla="*/ 200 h 239"/>
                              <a:gd name="T40" fmla="*/ 32 w 238"/>
                              <a:gd name="T41" fmla="*/ 208 h 239"/>
                              <a:gd name="T42" fmla="*/ 32 w 238"/>
                              <a:gd name="T43" fmla="*/ 208 h 239"/>
                              <a:gd name="T44" fmla="*/ 40 w 238"/>
                              <a:gd name="T45" fmla="*/ 215 h 239"/>
                              <a:gd name="T46" fmla="*/ 50 w 238"/>
                              <a:gd name="T47" fmla="*/ 221 h 239"/>
                              <a:gd name="T48" fmla="*/ 70 w 238"/>
                              <a:gd name="T49" fmla="*/ 231 h 239"/>
                              <a:gd name="T50" fmla="*/ 92 w 238"/>
                              <a:gd name="T51" fmla="*/ 237 h 239"/>
                              <a:gd name="T52" fmla="*/ 116 w 238"/>
                              <a:gd name="T53" fmla="*/ 239 h 239"/>
                              <a:gd name="T54" fmla="*/ 116 w 238"/>
                              <a:gd name="T55" fmla="*/ 239 h 239"/>
                              <a:gd name="T56" fmla="*/ 144 w 238"/>
                              <a:gd name="T57" fmla="*/ 237 h 239"/>
                              <a:gd name="T58" fmla="*/ 166 w 238"/>
                              <a:gd name="T59" fmla="*/ 231 h 239"/>
                              <a:gd name="T60" fmla="*/ 178 w 238"/>
                              <a:gd name="T61" fmla="*/ 227 h 239"/>
                              <a:gd name="T62" fmla="*/ 188 w 238"/>
                              <a:gd name="T63" fmla="*/ 221 h 239"/>
                              <a:gd name="T64" fmla="*/ 196 w 238"/>
                              <a:gd name="T65" fmla="*/ 213 h 239"/>
                              <a:gd name="T66" fmla="*/ 204 w 238"/>
                              <a:gd name="T67" fmla="*/ 208 h 239"/>
                              <a:gd name="T68" fmla="*/ 204 w 238"/>
                              <a:gd name="T69" fmla="*/ 208 h 239"/>
                              <a:gd name="T70" fmla="*/ 212 w 238"/>
                              <a:gd name="T71" fmla="*/ 198 h 239"/>
                              <a:gd name="T72" fmla="*/ 220 w 238"/>
                              <a:gd name="T73" fmla="*/ 188 h 239"/>
                              <a:gd name="T74" fmla="*/ 224 w 238"/>
                              <a:gd name="T75" fmla="*/ 178 h 239"/>
                              <a:gd name="T76" fmla="*/ 230 w 238"/>
                              <a:gd name="T77" fmla="*/ 168 h 239"/>
                              <a:gd name="T78" fmla="*/ 236 w 238"/>
                              <a:gd name="T79" fmla="*/ 144 h 239"/>
                              <a:gd name="T80" fmla="*/ 238 w 238"/>
                              <a:gd name="T81" fmla="*/ 118 h 239"/>
                              <a:gd name="T82" fmla="*/ 238 w 238"/>
                              <a:gd name="T83" fmla="*/ 118 h 239"/>
                              <a:gd name="T84" fmla="*/ 236 w 238"/>
                              <a:gd name="T85" fmla="*/ 92 h 239"/>
                              <a:gd name="T86" fmla="*/ 230 w 238"/>
                              <a:gd name="T87" fmla="*/ 68 h 239"/>
                              <a:gd name="T88" fmla="*/ 220 w 238"/>
                              <a:gd name="T89" fmla="*/ 48 h 239"/>
                              <a:gd name="T90" fmla="*/ 214 w 238"/>
                              <a:gd name="T91" fmla="*/ 38 h 239"/>
                              <a:gd name="T92" fmla="*/ 206 w 238"/>
                              <a:gd name="T93" fmla="*/ 30 h 239"/>
                              <a:gd name="T94" fmla="*/ 206 w 238"/>
                              <a:gd name="T95" fmla="*/ 30 h 239"/>
                              <a:gd name="T96" fmla="*/ 198 w 238"/>
                              <a:gd name="T97" fmla="*/ 24 h 239"/>
                              <a:gd name="T98" fmla="*/ 190 w 238"/>
                              <a:gd name="T99" fmla="*/ 16 h 239"/>
                              <a:gd name="T100" fmla="*/ 180 w 238"/>
                              <a:gd name="T101" fmla="*/ 12 h 239"/>
                              <a:gd name="T102" fmla="*/ 170 w 238"/>
                              <a:gd name="T103" fmla="*/ 6 h 239"/>
                              <a:gd name="T104" fmla="*/ 148 w 238"/>
                              <a:gd name="T105" fmla="*/ 2 h 239"/>
                              <a:gd name="T106" fmla="*/ 122 w 238"/>
                              <a:gd name="T107" fmla="*/ 0 h 2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238" h="239">
                                <a:moveTo>
                                  <a:pt x="122" y="0"/>
                                </a:moveTo>
                                <a:lnTo>
                                  <a:pt x="122" y="0"/>
                                </a:lnTo>
                                <a:lnTo>
                                  <a:pt x="96" y="2"/>
                                </a:lnTo>
                                <a:lnTo>
                                  <a:pt x="72" y="8"/>
                                </a:lnTo>
                                <a:lnTo>
                                  <a:pt x="60" y="12"/>
                                </a:lnTo>
                                <a:lnTo>
                                  <a:pt x="50" y="18"/>
                                </a:lnTo>
                                <a:lnTo>
                                  <a:pt x="42" y="24"/>
                                </a:lnTo>
                                <a:lnTo>
                                  <a:pt x="32" y="32"/>
                                </a:lnTo>
                                <a:lnTo>
                                  <a:pt x="32" y="32"/>
                                </a:lnTo>
                                <a:lnTo>
                                  <a:pt x="26" y="40"/>
                                </a:lnTo>
                                <a:lnTo>
                                  <a:pt x="18" y="50"/>
                                </a:lnTo>
                                <a:lnTo>
                                  <a:pt x="14" y="60"/>
                                </a:lnTo>
                                <a:lnTo>
                                  <a:pt x="8" y="72"/>
                                </a:lnTo>
                                <a:lnTo>
                                  <a:pt x="2" y="96"/>
                                </a:lnTo>
                                <a:lnTo>
                                  <a:pt x="0" y="122"/>
                                </a:lnTo>
                                <a:lnTo>
                                  <a:pt x="0" y="122"/>
                                </a:lnTo>
                                <a:lnTo>
                                  <a:pt x="2" y="148"/>
                                </a:lnTo>
                                <a:lnTo>
                                  <a:pt x="8" y="172"/>
                                </a:lnTo>
                                <a:lnTo>
                                  <a:pt x="18" y="192"/>
                                </a:lnTo>
                                <a:lnTo>
                                  <a:pt x="24" y="200"/>
                                </a:lnTo>
                                <a:lnTo>
                                  <a:pt x="32" y="208"/>
                                </a:lnTo>
                                <a:lnTo>
                                  <a:pt x="32" y="208"/>
                                </a:lnTo>
                                <a:lnTo>
                                  <a:pt x="40" y="215"/>
                                </a:lnTo>
                                <a:lnTo>
                                  <a:pt x="50" y="221"/>
                                </a:lnTo>
                                <a:lnTo>
                                  <a:pt x="70" y="231"/>
                                </a:lnTo>
                                <a:lnTo>
                                  <a:pt x="92" y="237"/>
                                </a:lnTo>
                                <a:lnTo>
                                  <a:pt x="116" y="239"/>
                                </a:lnTo>
                                <a:lnTo>
                                  <a:pt x="116" y="239"/>
                                </a:lnTo>
                                <a:lnTo>
                                  <a:pt x="144" y="237"/>
                                </a:lnTo>
                                <a:lnTo>
                                  <a:pt x="166" y="231"/>
                                </a:lnTo>
                                <a:lnTo>
                                  <a:pt x="178" y="227"/>
                                </a:lnTo>
                                <a:lnTo>
                                  <a:pt x="188" y="221"/>
                                </a:lnTo>
                                <a:lnTo>
                                  <a:pt x="196" y="213"/>
                                </a:lnTo>
                                <a:lnTo>
                                  <a:pt x="204" y="208"/>
                                </a:lnTo>
                                <a:lnTo>
                                  <a:pt x="204" y="208"/>
                                </a:lnTo>
                                <a:lnTo>
                                  <a:pt x="212" y="198"/>
                                </a:lnTo>
                                <a:lnTo>
                                  <a:pt x="220" y="188"/>
                                </a:lnTo>
                                <a:lnTo>
                                  <a:pt x="224" y="178"/>
                                </a:lnTo>
                                <a:lnTo>
                                  <a:pt x="230" y="168"/>
                                </a:lnTo>
                                <a:lnTo>
                                  <a:pt x="236" y="144"/>
                                </a:lnTo>
                                <a:lnTo>
                                  <a:pt x="238" y="118"/>
                                </a:lnTo>
                                <a:lnTo>
                                  <a:pt x="238" y="118"/>
                                </a:lnTo>
                                <a:lnTo>
                                  <a:pt x="236" y="92"/>
                                </a:lnTo>
                                <a:lnTo>
                                  <a:pt x="230" y="68"/>
                                </a:lnTo>
                                <a:lnTo>
                                  <a:pt x="220" y="48"/>
                                </a:lnTo>
                                <a:lnTo>
                                  <a:pt x="214" y="38"/>
                                </a:lnTo>
                                <a:lnTo>
                                  <a:pt x="206" y="30"/>
                                </a:lnTo>
                                <a:lnTo>
                                  <a:pt x="206" y="30"/>
                                </a:lnTo>
                                <a:lnTo>
                                  <a:pt x="198" y="24"/>
                                </a:lnTo>
                                <a:lnTo>
                                  <a:pt x="190" y="16"/>
                                </a:lnTo>
                                <a:lnTo>
                                  <a:pt x="180" y="12"/>
                                </a:lnTo>
                                <a:lnTo>
                                  <a:pt x="170" y="6"/>
                                </a:lnTo>
                                <a:lnTo>
                                  <a:pt x="148" y="2"/>
                                </a:lnTo>
                                <a:lnTo>
                                  <a:pt x="122"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1" name="Freeform 101"/>
                        <wps:cNvSpPr>
                          <a:spLocks/>
                        </wps:cNvSpPr>
                        <wps:spPr bwMode="auto">
                          <a:xfrm>
                            <a:off x="4105087" y="635599"/>
                            <a:ext cx="200025" cy="241300"/>
                          </a:xfrm>
                          <a:custGeom>
                            <a:avLst/>
                            <a:gdLst>
                              <a:gd name="T0" fmla="*/ 110 w 126"/>
                              <a:gd name="T1" fmla="*/ 132 h 152"/>
                              <a:gd name="T2" fmla="*/ 110 w 126"/>
                              <a:gd name="T3" fmla="*/ 132 h 152"/>
                              <a:gd name="T4" fmla="*/ 102 w 126"/>
                              <a:gd name="T5" fmla="*/ 140 h 152"/>
                              <a:gd name="T6" fmla="*/ 90 w 126"/>
                              <a:gd name="T7" fmla="*/ 146 h 152"/>
                              <a:gd name="T8" fmla="*/ 78 w 126"/>
                              <a:gd name="T9" fmla="*/ 150 h 152"/>
                              <a:gd name="T10" fmla="*/ 64 w 126"/>
                              <a:gd name="T11" fmla="*/ 152 h 152"/>
                              <a:gd name="T12" fmla="*/ 64 w 126"/>
                              <a:gd name="T13" fmla="*/ 152 h 152"/>
                              <a:gd name="T14" fmla="*/ 50 w 126"/>
                              <a:gd name="T15" fmla="*/ 150 h 152"/>
                              <a:gd name="T16" fmla="*/ 38 w 126"/>
                              <a:gd name="T17" fmla="*/ 146 h 152"/>
                              <a:gd name="T18" fmla="*/ 26 w 126"/>
                              <a:gd name="T19" fmla="*/ 140 h 152"/>
                              <a:gd name="T20" fmla="*/ 18 w 126"/>
                              <a:gd name="T21" fmla="*/ 132 h 152"/>
                              <a:gd name="T22" fmla="*/ 18 w 126"/>
                              <a:gd name="T23" fmla="*/ 132 h 152"/>
                              <a:gd name="T24" fmla="*/ 10 w 126"/>
                              <a:gd name="T25" fmla="*/ 122 h 152"/>
                              <a:gd name="T26" fmla="*/ 4 w 126"/>
                              <a:gd name="T27" fmla="*/ 108 h 152"/>
                              <a:gd name="T28" fmla="*/ 2 w 126"/>
                              <a:gd name="T29" fmla="*/ 94 h 152"/>
                              <a:gd name="T30" fmla="*/ 0 w 126"/>
                              <a:gd name="T31" fmla="*/ 76 h 152"/>
                              <a:gd name="T32" fmla="*/ 0 w 126"/>
                              <a:gd name="T33" fmla="*/ 76 h 152"/>
                              <a:gd name="T34" fmla="*/ 2 w 126"/>
                              <a:gd name="T35" fmla="*/ 60 h 152"/>
                              <a:gd name="T36" fmla="*/ 4 w 126"/>
                              <a:gd name="T37" fmla="*/ 44 h 152"/>
                              <a:gd name="T38" fmla="*/ 10 w 126"/>
                              <a:gd name="T39" fmla="*/ 30 h 152"/>
                              <a:gd name="T40" fmla="*/ 18 w 126"/>
                              <a:gd name="T41" fmla="*/ 20 h 152"/>
                              <a:gd name="T42" fmla="*/ 18 w 126"/>
                              <a:gd name="T43" fmla="*/ 20 h 152"/>
                              <a:gd name="T44" fmla="*/ 26 w 126"/>
                              <a:gd name="T45" fmla="*/ 12 h 152"/>
                              <a:gd name="T46" fmla="*/ 38 w 126"/>
                              <a:gd name="T47" fmla="*/ 4 h 152"/>
                              <a:gd name="T48" fmla="*/ 50 w 126"/>
                              <a:gd name="T49" fmla="*/ 2 h 152"/>
                              <a:gd name="T50" fmla="*/ 64 w 126"/>
                              <a:gd name="T51" fmla="*/ 0 h 152"/>
                              <a:gd name="T52" fmla="*/ 64 w 126"/>
                              <a:gd name="T53" fmla="*/ 0 h 152"/>
                              <a:gd name="T54" fmla="*/ 78 w 126"/>
                              <a:gd name="T55" fmla="*/ 2 h 152"/>
                              <a:gd name="T56" fmla="*/ 90 w 126"/>
                              <a:gd name="T57" fmla="*/ 4 h 152"/>
                              <a:gd name="T58" fmla="*/ 100 w 126"/>
                              <a:gd name="T59" fmla="*/ 10 h 152"/>
                              <a:gd name="T60" fmla="*/ 108 w 126"/>
                              <a:gd name="T61" fmla="*/ 18 h 152"/>
                              <a:gd name="T62" fmla="*/ 108 w 126"/>
                              <a:gd name="T63" fmla="*/ 18 h 152"/>
                              <a:gd name="T64" fmla="*/ 116 w 126"/>
                              <a:gd name="T65" fmla="*/ 30 h 152"/>
                              <a:gd name="T66" fmla="*/ 120 w 126"/>
                              <a:gd name="T67" fmla="*/ 42 h 152"/>
                              <a:gd name="T68" fmla="*/ 124 w 126"/>
                              <a:gd name="T69" fmla="*/ 58 h 152"/>
                              <a:gd name="T70" fmla="*/ 126 w 126"/>
                              <a:gd name="T71" fmla="*/ 76 h 152"/>
                              <a:gd name="T72" fmla="*/ 126 w 126"/>
                              <a:gd name="T73" fmla="*/ 76 h 152"/>
                              <a:gd name="T74" fmla="*/ 124 w 126"/>
                              <a:gd name="T75" fmla="*/ 94 h 152"/>
                              <a:gd name="T76" fmla="*/ 122 w 126"/>
                              <a:gd name="T77" fmla="*/ 108 h 152"/>
                              <a:gd name="T78" fmla="*/ 116 w 126"/>
                              <a:gd name="T79" fmla="*/ 122 h 152"/>
                              <a:gd name="T80" fmla="*/ 110 w 126"/>
                              <a:gd name="T81" fmla="*/ 132 h 1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26" h="152">
                                <a:moveTo>
                                  <a:pt x="110" y="132"/>
                                </a:moveTo>
                                <a:lnTo>
                                  <a:pt x="110" y="132"/>
                                </a:lnTo>
                                <a:lnTo>
                                  <a:pt x="102" y="140"/>
                                </a:lnTo>
                                <a:lnTo>
                                  <a:pt x="90" y="146"/>
                                </a:lnTo>
                                <a:lnTo>
                                  <a:pt x="78" y="150"/>
                                </a:lnTo>
                                <a:lnTo>
                                  <a:pt x="64" y="152"/>
                                </a:lnTo>
                                <a:lnTo>
                                  <a:pt x="64" y="152"/>
                                </a:lnTo>
                                <a:lnTo>
                                  <a:pt x="50" y="150"/>
                                </a:lnTo>
                                <a:lnTo>
                                  <a:pt x="38" y="146"/>
                                </a:lnTo>
                                <a:lnTo>
                                  <a:pt x="26" y="140"/>
                                </a:lnTo>
                                <a:lnTo>
                                  <a:pt x="18" y="132"/>
                                </a:lnTo>
                                <a:lnTo>
                                  <a:pt x="18" y="132"/>
                                </a:lnTo>
                                <a:lnTo>
                                  <a:pt x="10" y="122"/>
                                </a:lnTo>
                                <a:lnTo>
                                  <a:pt x="4" y="108"/>
                                </a:lnTo>
                                <a:lnTo>
                                  <a:pt x="2" y="94"/>
                                </a:lnTo>
                                <a:lnTo>
                                  <a:pt x="0" y="76"/>
                                </a:lnTo>
                                <a:lnTo>
                                  <a:pt x="0" y="76"/>
                                </a:lnTo>
                                <a:lnTo>
                                  <a:pt x="2" y="60"/>
                                </a:lnTo>
                                <a:lnTo>
                                  <a:pt x="4" y="44"/>
                                </a:lnTo>
                                <a:lnTo>
                                  <a:pt x="10" y="30"/>
                                </a:lnTo>
                                <a:lnTo>
                                  <a:pt x="18" y="20"/>
                                </a:lnTo>
                                <a:lnTo>
                                  <a:pt x="18" y="20"/>
                                </a:lnTo>
                                <a:lnTo>
                                  <a:pt x="26" y="12"/>
                                </a:lnTo>
                                <a:lnTo>
                                  <a:pt x="38" y="4"/>
                                </a:lnTo>
                                <a:lnTo>
                                  <a:pt x="50" y="2"/>
                                </a:lnTo>
                                <a:lnTo>
                                  <a:pt x="64" y="0"/>
                                </a:lnTo>
                                <a:lnTo>
                                  <a:pt x="64" y="0"/>
                                </a:lnTo>
                                <a:lnTo>
                                  <a:pt x="78" y="2"/>
                                </a:lnTo>
                                <a:lnTo>
                                  <a:pt x="90" y="4"/>
                                </a:lnTo>
                                <a:lnTo>
                                  <a:pt x="100" y="10"/>
                                </a:lnTo>
                                <a:lnTo>
                                  <a:pt x="108" y="18"/>
                                </a:lnTo>
                                <a:lnTo>
                                  <a:pt x="108" y="18"/>
                                </a:lnTo>
                                <a:lnTo>
                                  <a:pt x="116" y="30"/>
                                </a:lnTo>
                                <a:lnTo>
                                  <a:pt x="120" y="42"/>
                                </a:lnTo>
                                <a:lnTo>
                                  <a:pt x="124" y="58"/>
                                </a:lnTo>
                                <a:lnTo>
                                  <a:pt x="126" y="76"/>
                                </a:lnTo>
                                <a:lnTo>
                                  <a:pt x="126" y="76"/>
                                </a:lnTo>
                                <a:lnTo>
                                  <a:pt x="124" y="94"/>
                                </a:lnTo>
                                <a:lnTo>
                                  <a:pt x="122" y="108"/>
                                </a:lnTo>
                                <a:lnTo>
                                  <a:pt x="116" y="122"/>
                                </a:lnTo>
                                <a:lnTo>
                                  <a:pt x="110" y="132"/>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2" name="Freeform 102"/>
                        <wps:cNvSpPr>
                          <a:spLocks/>
                        </wps:cNvSpPr>
                        <wps:spPr bwMode="auto">
                          <a:xfrm>
                            <a:off x="4400362" y="392711"/>
                            <a:ext cx="450850" cy="552450"/>
                          </a:xfrm>
                          <a:custGeom>
                            <a:avLst/>
                            <a:gdLst>
                              <a:gd name="T0" fmla="*/ 284 w 284"/>
                              <a:gd name="T1" fmla="*/ 113 h 348"/>
                              <a:gd name="T2" fmla="*/ 230 w 284"/>
                              <a:gd name="T3" fmla="*/ 46 h 348"/>
                              <a:gd name="T4" fmla="*/ 176 w 284"/>
                              <a:gd name="T5" fmla="*/ 61 h 348"/>
                              <a:gd name="T6" fmla="*/ 176 w 284"/>
                              <a:gd name="T7" fmla="*/ 113 h 348"/>
                              <a:gd name="T8" fmla="*/ 94 w 284"/>
                              <a:gd name="T9" fmla="*/ 85 h 348"/>
                              <a:gd name="T10" fmla="*/ 94 w 284"/>
                              <a:gd name="T11" fmla="*/ 75 h 348"/>
                              <a:gd name="T12" fmla="*/ 98 w 284"/>
                              <a:gd name="T13" fmla="*/ 59 h 348"/>
                              <a:gd name="T14" fmla="*/ 102 w 284"/>
                              <a:gd name="T15" fmla="*/ 53 h 348"/>
                              <a:gd name="T16" fmla="*/ 114 w 284"/>
                              <a:gd name="T17" fmla="*/ 48 h 348"/>
                              <a:gd name="T18" fmla="*/ 128 w 284"/>
                              <a:gd name="T19" fmla="*/ 44 h 348"/>
                              <a:gd name="T20" fmla="*/ 140 w 284"/>
                              <a:gd name="T21" fmla="*/ 46 h 348"/>
                              <a:gd name="T22" fmla="*/ 154 w 284"/>
                              <a:gd name="T23" fmla="*/ 50 h 348"/>
                              <a:gd name="T24" fmla="*/ 152 w 284"/>
                              <a:gd name="T25" fmla="*/ 4 h 348"/>
                              <a:gd name="T26" fmla="*/ 140 w 284"/>
                              <a:gd name="T27" fmla="*/ 0 h 348"/>
                              <a:gd name="T28" fmla="*/ 122 w 284"/>
                              <a:gd name="T29" fmla="*/ 0 h 348"/>
                              <a:gd name="T30" fmla="*/ 100 w 284"/>
                              <a:gd name="T31" fmla="*/ 2 h 348"/>
                              <a:gd name="T32" fmla="*/ 80 w 284"/>
                              <a:gd name="T33" fmla="*/ 10 h 348"/>
                              <a:gd name="T34" fmla="*/ 70 w 284"/>
                              <a:gd name="T35" fmla="*/ 16 h 348"/>
                              <a:gd name="T36" fmla="*/ 56 w 284"/>
                              <a:gd name="T37" fmla="*/ 30 h 348"/>
                              <a:gd name="T38" fmla="*/ 50 w 284"/>
                              <a:gd name="T39" fmla="*/ 40 h 348"/>
                              <a:gd name="T40" fmla="*/ 42 w 284"/>
                              <a:gd name="T41" fmla="*/ 59 h 348"/>
                              <a:gd name="T42" fmla="*/ 38 w 284"/>
                              <a:gd name="T43" fmla="*/ 81 h 348"/>
                              <a:gd name="T44" fmla="*/ 0 w 284"/>
                              <a:gd name="T45" fmla="*/ 113 h 348"/>
                              <a:gd name="T46" fmla="*/ 38 w 284"/>
                              <a:gd name="T47" fmla="*/ 157 h 348"/>
                              <a:gd name="T48" fmla="*/ 94 w 284"/>
                              <a:gd name="T49" fmla="*/ 344 h 348"/>
                              <a:gd name="T50" fmla="*/ 176 w 284"/>
                              <a:gd name="T51" fmla="*/ 157 h 348"/>
                              <a:gd name="T52" fmla="*/ 176 w 284"/>
                              <a:gd name="T53" fmla="*/ 277 h 348"/>
                              <a:gd name="T54" fmla="*/ 180 w 284"/>
                              <a:gd name="T55" fmla="*/ 309 h 348"/>
                              <a:gd name="T56" fmla="*/ 192 w 284"/>
                              <a:gd name="T57" fmla="*/ 330 h 348"/>
                              <a:gd name="T58" fmla="*/ 214 w 284"/>
                              <a:gd name="T59" fmla="*/ 344 h 348"/>
                              <a:gd name="T60" fmla="*/ 244 w 284"/>
                              <a:gd name="T61" fmla="*/ 348 h 348"/>
                              <a:gd name="T62" fmla="*/ 254 w 284"/>
                              <a:gd name="T63" fmla="*/ 348 h 348"/>
                              <a:gd name="T64" fmla="*/ 266 w 284"/>
                              <a:gd name="T65" fmla="*/ 346 h 348"/>
                              <a:gd name="T66" fmla="*/ 284 w 284"/>
                              <a:gd name="T67" fmla="*/ 340 h 348"/>
                              <a:gd name="T68" fmla="*/ 282 w 284"/>
                              <a:gd name="T69" fmla="*/ 299 h 348"/>
                              <a:gd name="T70" fmla="*/ 272 w 284"/>
                              <a:gd name="T71" fmla="*/ 303 h 348"/>
                              <a:gd name="T72" fmla="*/ 260 w 284"/>
                              <a:gd name="T73" fmla="*/ 305 h 348"/>
                              <a:gd name="T74" fmla="*/ 252 w 284"/>
                              <a:gd name="T75" fmla="*/ 305 h 348"/>
                              <a:gd name="T76" fmla="*/ 242 w 284"/>
                              <a:gd name="T77" fmla="*/ 299 h 348"/>
                              <a:gd name="T78" fmla="*/ 236 w 284"/>
                              <a:gd name="T79" fmla="*/ 297 h 348"/>
                              <a:gd name="T80" fmla="*/ 232 w 284"/>
                              <a:gd name="T81" fmla="*/ 285 h 348"/>
                              <a:gd name="T82" fmla="*/ 230 w 284"/>
                              <a:gd name="T83" fmla="*/ 157 h 3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284" h="348">
                                <a:moveTo>
                                  <a:pt x="284" y="157"/>
                                </a:moveTo>
                                <a:lnTo>
                                  <a:pt x="284" y="113"/>
                                </a:lnTo>
                                <a:lnTo>
                                  <a:pt x="230" y="113"/>
                                </a:lnTo>
                                <a:lnTo>
                                  <a:pt x="230" y="46"/>
                                </a:lnTo>
                                <a:lnTo>
                                  <a:pt x="228" y="46"/>
                                </a:lnTo>
                                <a:lnTo>
                                  <a:pt x="176" y="61"/>
                                </a:lnTo>
                                <a:lnTo>
                                  <a:pt x="176" y="61"/>
                                </a:lnTo>
                                <a:lnTo>
                                  <a:pt x="176" y="113"/>
                                </a:lnTo>
                                <a:lnTo>
                                  <a:pt x="94" y="113"/>
                                </a:lnTo>
                                <a:lnTo>
                                  <a:pt x="94" y="85"/>
                                </a:lnTo>
                                <a:lnTo>
                                  <a:pt x="94" y="85"/>
                                </a:lnTo>
                                <a:lnTo>
                                  <a:pt x="94" y="75"/>
                                </a:lnTo>
                                <a:lnTo>
                                  <a:pt x="96" y="67"/>
                                </a:lnTo>
                                <a:lnTo>
                                  <a:pt x="98" y="59"/>
                                </a:lnTo>
                                <a:lnTo>
                                  <a:pt x="102" y="53"/>
                                </a:lnTo>
                                <a:lnTo>
                                  <a:pt x="102" y="53"/>
                                </a:lnTo>
                                <a:lnTo>
                                  <a:pt x="108" y="50"/>
                                </a:lnTo>
                                <a:lnTo>
                                  <a:pt x="114" y="48"/>
                                </a:lnTo>
                                <a:lnTo>
                                  <a:pt x="120" y="46"/>
                                </a:lnTo>
                                <a:lnTo>
                                  <a:pt x="128" y="44"/>
                                </a:lnTo>
                                <a:lnTo>
                                  <a:pt x="128" y="44"/>
                                </a:lnTo>
                                <a:lnTo>
                                  <a:pt x="140" y="46"/>
                                </a:lnTo>
                                <a:lnTo>
                                  <a:pt x="152" y="50"/>
                                </a:lnTo>
                                <a:lnTo>
                                  <a:pt x="154" y="50"/>
                                </a:lnTo>
                                <a:lnTo>
                                  <a:pt x="154" y="4"/>
                                </a:lnTo>
                                <a:lnTo>
                                  <a:pt x="152" y="4"/>
                                </a:lnTo>
                                <a:lnTo>
                                  <a:pt x="152" y="4"/>
                                </a:lnTo>
                                <a:lnTo>
                                  <a:pt x="140" y="0"/>
                                </a:lnTo>
                                <a:lnTo>
                                  <a:pt x="122" y="0"/>
                                </a:lnTo>
                                <a:lnTo>
                                  <a:pt x="122" y="0"/>
                                </a:lnTo>
                                <a:lnTo>
                                  <a:pt x="110" y="0"/>
                                </a:lnTo>
                                <a:lnTo>
                                  <a:pt x="100" y="2"/>
                                </a:lnTo>
                                <a:lnTo>
                                  <a:pt x="88" y="6"/>
                                </a:lnTo>
                                <a:lnTo>
                                  <a:pt x="80" y="10"/>
                                </a:lnTo>
                                <a:lnTo>
                                  <a:pt x="80" y="10"/>
                                </a:lnTo>
                                <a:lnTo>
                                  <a:pt x="70" y="16"/>
                                </a:lnTo>
                                <a:lnTo>
                                  <a:pt x="62" y="22"/>
                                </a:lnTo>
                                <a:lnTo>
                                  <a:pt x="56" y="30"/>
                                </a:lnTo>
                                <a:lnTo>
                                  <a:pt x="50" y="40"/>
                                </a:lnTo>
                                <a:lnTo>
                                  <a:pt x="50" y="40"/>
                                </a:lnTo>
                                <a:lnTo>
                                  <a:pt x="44" y="50"/>
                                </a:lnTo>
                                <a:lnTo>
                                  <a:pt x="42" y="59"/>
                                </a:lnTo>
                                <a:lnTo>
                                  <a:pt x="40" y="69"/>
                                </a:lnTo>
                                <a:lnTo>
                                  <a:pt x="38" y="81"/>
                                </a:lnTo>
                                <a:lnTo>
                                  <a:pt x="38" y="113"/>
                                </a:lnTo>
                                <a:lnTo>
                                  <a:pt x="0" y="113"/>
                                </a:lnTo>
                                <a:lnTo>
                                  <a:pt x="0" y="157"/>
                                </a:lnTo>
                                <a:lnTo>
                                  <a:pt x="38" y="157"/>
                                </a:lnTo>
                                <a:lnTo>
                                  <a:pt x="38" y="344"/>
                                </a:lnTo>
                                <a:lnTo>
                                  <a:pt x="94" y="344"/>
                                </a:lnTo>
                                <a:lnTo>
                                  <a:pt x="94" y="157"/>
                                </a:lnTo>
                                <a:lnTo>
                                  <a:pt x="176" y="157"/>
                                </a:lnTo>
                                <a:lnTo>
                                  <a:pt x="176" y="277"/>
                                </a:lnTo>
                                <a:lnTo>
                                  <a:pt x="176" y="277"/>
                                </a:lnTo>
                                <a:lnTo>
                                  <a:pt x="176" y="293"/>
                                </a:lnTo>
                                <a:lnTo>
                                  <a:pt x="180" y="309"/>
                                </a:lnTo>
                                <a:lnTo>
                                  <a:pt x="184" y="320"/>
                                </a:lnTo>
                                <a:lnTo>
                                  <a:pt x="192" y="330"/>
                                </a:lnTo>
                                <a:lnTo>
                                  <a:pt x="202" y="338"/>
                                </a:lnTo>
                                <a:lnTo>
                                  <a:pt x="214" y="344"/>
                                </a:lnTo>
                                <a:lnTo>
                                  <a:pt x="228" y="348"/>
                                </a:lnTo>
                                <a:lnTo>
                                  <a:pt x="244" y="348"/>
                                </a:lnTo>
                                <a:lnTo>
                                  <a:pt x="244" y="348"/>
                                </a:lnTo>
                                <a:lnTo>
                                  <a:pt x="254" y="348"/>
                                </a:lnTo>
                                <a:lnTo>
                                  <a:pt x="266" y="346"/>
                                </a:lnTo>
                                <a:lnTo>
                                  <a:pt x="266" y="346"/>
                                </a:lnTo>
                                <a:lnTo>
                                  <a:pt x="284" y="340"/>
                                </a:lnTo>
                                <a:lnTo>
                                  <a:pt x="284" y="340"/>
                                </a:lnTo>
                                <a:lnTo>
                                  <a:pt x="284" y="297"/>
                                </a:lnTo>
                                <a:lnTo>
                                  <a:pt x="282" y="299"/>
                                </a:lnTo>
                                <a:lnTo>
                                  <a:pt x="282" y="299"/>
                                </a:lnTo>
                                <a:lnTo>
                                  <a:pt x="272" y="303"/>
                                </a:lnTo>
                                <a:lnTo>
                                  <a:pt x="272" y="303"/>
                                </a:lnTo>
                                <a:lnTo>
                                  <a:pt x="260" y="305"/>
                                </a:lnTo>
                                <a:lnTo>
                                  <a:pt x="260" y="305"/>
                                </a:lnTo>
                                <a:lnTo>
                                  <a:pt x="252" y="305"/>
                                </a:lnTo>
                                <a:lnTo>
                                  <a:pt x="246" y="303"/>
                                </a:lnTo>
                                <a:lnTo>
                                  <a:pt x="242" y="299"/>
                                </a:lnTo>
                                <a:lnTo>
                                  <a:pt x="236" y="297"/>
                                </a:lnTo>
                                <a:lnTo>
                                  <a:pt x="236" y="297"/>
                                </a:lnTo>
                                <a:lnTo>
                                  <a:pt x="234" y="291"/>
                                </a:lnTo>
                                <a:lnTo>
                                  <a:pt x="232" y="285"/>
                                </a:lnTo>
                                <a:lnTo>
                                  <a:pt x="230" y="267"/>
                                </a:lnTo>
                                <a:lnTo>
                                  <a:pt x="230" y="157"/>
                                </a:lnTo>
                                <a:lnTo>
                                  <a:pt x="284" y="157"/>
                                </a:lnTo>
                                <a:close/>
                              </a:path>
                            </a:pathLst>
                          </a:custGeom>
                          <a:solidFill>
                            <a:srgbClr val="747474"/>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6" name="Rectangle 106"/>
                        <wps:cNvSpPr>
                          <a:spLocks noChangeArrowheads="1"/>
                        </wps:cNvSpPr>
                        <wps:spPr bwMode="auto">
                          <a:xfrm>
                            <a:off x="863412" y="259361"/>
                            <a:ext cx="406400" cy="404813"/>
                          </a:xfrm>
                          <a:prstGeom prst="rect">
                            <a:avLst/>
                          </a:prstGeom>
                          <a:solidFill>
                            <a:srgbClr val="F05225"/>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07" name="Rectangle 107"/>
                        <wps:cNvSpPr>
                          <a:spLocks noChangeArrowheads="1"/>
                        </wps:cNvSpPr>
                        <wps:spPr bwMode="auto">
                          <a:xfrm>
                            <a:off x="1311087" y="259361"/>
                            <a:ext cx="406400" cy="404813"/>
                          </a:xfrm>
                          <a:prstGeom prst="rect">
                            <a:avLst/>
                          </a:prstGeom>
                          <a:solidFill>
                            <a:srgbClr val="7FBB42"/>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17" name="Rectangle 117"/>
                        <wps:cNvSpPr>
                          <a:spLocks noChangeArrowheads="1"/>
                        </wps:cNvSpPr>
                        <wps:spPr bwMode="auto">
                          <a:xfrm>
                            <a:off x="863412" y="705449"/>
                            <a:ext cx="406400" cy="401638"/>
                          </a:xfrm>
                          <a:prstGeom prst="rect">
                            <a:avLst/>
                          </a:prstGeom>
                          <a:solidFill>
                            <a:srgbClr val="33A0DA"/>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s:wsp>
                        <wps:cNvPr id="118" name="Rectangle 118"/>
                        <wps:cNvSpPr>
                          <a:spLocks noChangeArrowheads="1"/>
                        </wps:cNvSpPr>
                        <wps:spPr bwMode="auto">
                          <a:xfrm>
                            <a:off x="1311087" y="705449"/>
                            <a:ext cx="406400" cy="401638"/>
                          </a:xfrm>
                          <a:prstGeom prst="rect">
                            <a:avLst/>
                          </a:prstGeom>
                          <a:solidFill>
                            <a:srgbClr val="FDB813"/>
                          </a:solidFill>
                          <a:ln>
                            <a:noFill/>
                          </a:ln>
                          <a:extLs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g:wgp>
                  </a:graphicData>
                </a:graphic>
              </wp:anchor>
            </w:drawing>
          </mc:Choice>
          <mc:Fallback>
            <w:pict>
              <v:group w14:anchorId="53CE5EC0" id="Group 71" o:spid="_x0000_s1026" style="position:absolute;margin-left:151.95pt;margin-top:20.35pt;width:84pt;height:17.85pt;z-index:251675648" coordorigin="8634,2593" coordsize="39878,8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">
                <v:shape id="Freeform 24" o:spid="_x0000_s1027" style="position:absolute;left:19699;top:4308;width:5524;height:5080;visibility:visible;mso-wrap-style:square;v-text-anchor:top" coordsize="348,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k/ucMA&#10;AADbAAAADwAAAGRycy9kb3ducmV2LnhtbESP3YrCMBSE7wXfIRzBG1lTRUW6RlmE1RWv/HmAQ3Ns&#10;is1JaVJb394sCF4OM/MNs9p0thQPqn3hWMFknIAgzpwuOFdwvfx+LUH4gKyxdEwKnuRhs+73Vphq&#10;1/KJHueQiwhhn6ICE0KVSukzQxb92FXE0bu52mKIss6lrrGNcFvKaZIspMWC44LBiraGsvu5sQr2&#10;y13B+9FlMW+b7nqYzI7bxhyVGg66n28QgbrwCb/bf1rBdAb/X+IPkO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k/ucMAAADbAAAADwAAAAAAAAAAAAAAAACYAgAAZHJzL2Rv&#10;d25yZXYueG1sUEsFBgAAAAAEAAQA9QAAAIgDAAAAAA==&#10;" path="m190,201r-16,42l174,243r,l168,225r-8,-24l78,,,,,320r52,l52,123r,l52,79r,l50,57r,l50,57r8,28l154,320r38,l288,83r,l294,57r2,l296,57r-4,58l292,320r56,l348,,272,,190,201xe" fillcolor="#747474" stroked="f">
                  <v:path arrowok="t" o:connecttype="custom" o:connectlocs="301625,319088;276225,385763;276225,385763;276225,385763;266700,357188;254000,319088;123825,0;0,0;0,508000;82550,508000;82550,195263;82550,195263;82550,125413;82550,125413;79375,90488;79375,90488;79375,90488;92075,134938;244475,508000;304800,508000;457200,131763;457200,131763;466725,90488;469900,90488;469900,90488;463550,182563;463550,508000;552450,508000;552450,0;431800,0;301625,319088" o:connectangles="0,0,0,0,0,0,0,0,0,0,0,0,0,0,0,0,0,0,0,0,0,0,0,0,0,0,0,0,0,0,0"/>
                </v:shape>
                <v:rect id="Rectangle 25" o:spid="_x0000_s1028" style="position:absolute;left:26049;top:5720;width:857;height:3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gmsEA&#10;AADbAAAADwAAAGRycy9kb3ducmV2LnhtbESP0YrCMBRE34X9h3AX9k3TLaxI1ygiLOqb1v2AS3Nt&#10;is1NTaJWv94Igo/DzJxhpvPetuJCPjSOFXyPMhDEldMN1wr+93/DCYgQkTW2jknBjQLMZx+DKRba&#10;XXlHlzLWIkE4FKjAxNgVUobKkMUwch1x8g7OW4xJ+lpqj9cEt63Ms2wsLTacFgx2tDRUHcuzVbDe&#10;nm6eDouyPhm+n/NVl1d+o9TXZ7/4BRGpj+/wq73WCvIfeH5JP0DO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KiYJrBAAAA2wAAAA8AAAAAAAAAAAAAAAAAmAIAAGRycy9kb3du&#10;cmV2LnhtbFBLBQYAAAAABAAEAPUAAACGAwAAAAA=&#10;" fillcolor="#747474" stroked="f"/>
                <v:shape id="Freeform 28" o:spid="_x0000_s1029" style="position:absolute;left:25985;top:4181;width:1048;height:1000;visibility:visible;mso-wrap-style:square;v-text-anchor:top" coordsize="66,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XA2sMA&#10;AADbAAAADwAAAGRycy9kb3ducmV2LnhtbERPz2vCMBS+C/4P4Qm72VQ3nFSjSGWwTceYbgdvz+bZ&#10;FpOX0mTa/ffLQfD48f2eLztrxIVaXztWMEpSEMSF0zWXCr73L8MpCB+QNRrHpOCPPCwX/d4cM+2u&#10;/EWXXShFDGGfoYIqhCaT0hcVWfSJa4gjd3KtxRBhW0rd4jWGWyPHaTqRFmuODRU2lFdUnHe/VkH+&#10;s1pv5cfjuzHPT2+fGo/54bhR6mHQrWYgAnXhLr65X7WCcRwbv8Qf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XA2sMAAADbAAAADwAAAAAAAAAAAAAAAACYAgAAZHJzL2Rv&#10;d25yZXYueG1sUEsFBgAAAAAEAAQA9QAAAIgDAAAAAA==&#10;" path="m32,r,l26,2r-6,l14,6,8,10r,l4,14,2,20,,26r,6l,32r,5l2,43r2,6l8,53r,l14,57r6,4l32,63r,l44,61r6,-4l56,53r,l60,49r2,-6l64,37r2,-5l66,32,64,26,62,20,60,14,56,10r,l50,6,44,2r-6,l32,xe" fillcolor="#747474" stroked="f">
                  <v:path arrowok="t" o:connecttype="custom" o:connectlocs="50800,0;50800,0;41275,3175;31750,3175;22225,9525;12700,15875;12700,15875;6350,22225;3175,31750;0,41275;0,50800;0,50800;0,58738;3175,68263;6350,77788;12700,84138;12700,84138;22225,90488;31750,96838;50800,100013;50800,100013;69850,96838;79375,90488;88900,84138;88900,84138;95250,77788;98425,68263;101600,58738;104775,50800;104775,50800;101600,41275;98425,31750;95250,22225;88900,15875;88900,15875;79375,9525;69850,3175;60325,3175;50800,0" o:connectangles="0,0,0,0,0,0,0,0,0,0,0,0,0,0,0,0,0,0,0,0,0,0,0,0,0,0,0,0,0,0,0,0,0,0,0,0,0,0,0"/>
                </v:shape>
                <v:shape id="Freeform 29" o:spid="_x0000_s1030" style="position:absolute;left:25985;top:4181;width:1048;height:1000;visibility:visible;mso-wrap-style:square;v-text-anchor:top" coordsize="66,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PyM8EA&#10;AADbAAAADwAAAGRycy9kb3ducmV2LnhtbESPQYvCMBSE7wv+h/AEL4umKohWo4igeBGxu/T8aJ5t&#10;sXmpTdT6740geBxm5htmsWpNJe7UuNKyguEgAkGcWV1yruD/b9ufgnAeWWNlmRQ8ycFq2flZYKzt&#10;g090T3wuAoRdjAoK7+tYSpcVZNANbE0cvLNtDPogm1zqBh8Bbio5iqKJNFhyWCiwpk1B2SW5GQX8&#10;O5Z2TdM0PT6j+nwgc0qvO6V63XY9B+Gp9d/wp73XCkYzeH8JP0A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7j8jPBAAAA2wAAAA8AAAAAAAAAAAAAAAAAmAIAAGRycy9kb3du&#10;cmV2LnhtbFBLBQYAAAAABAAEAPUAAACGAwAAAAA=&#10;" path="m32,r,l26,2r-6,l14,6,8,10r,l4,14,2,20,,26r,6l,32r,5l2,43r2,6l8,53r,l14,57r6,4l32,63r,l44,61r6,-4l56,53r,l60,49r2,-6l64,37r2,-5l66,32,64,26,62,20,60,14,56,10r,l50,6,44,2r-6,l32,e" filled="f" stroked="f">
                  <v:path arrowok="t" o:connecttype="custom" o:connectlocs="50800,0;50800,0;41275,3175;31750,3175;22225,9525;12700,15875;12700,15875;6350,22225;3175,31750;0,41275;0,50800;0,50800;0,58738;3175,68263;6350,77788;12700,84138;12700,84138;22225,90488;31750,96838;50800,100013;50800,100013;69850,96838;79375,90488;88900,84138;88900,84138;95250,77788;98425,68263;101600,58738;104775,50800;104775,50800;101600,41275;98425,31750;95250,22225;88900,15875;88900,15875;79375,9525;69850,3175;60325,3175;50800,0" o:connectangles="0,0,0,0,0,0,0,0,0,0,0,0,0,0,0,0,0,0,0,0,0,0,0,0,0,0,0,0,0,0,0,0,0,0,0,0,0,0,0"/>
                </v:shape>
                <v:shape id="Freeform 30" o:spid="_x0000_s1031" style="position:absolute;left:27509;top:5657;width:2858;height:3794;visibility:visible;mso-wrap-style:square;v-text-anchor:top" coordsize="180,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woRcMA&#10;AADbAAAADwAAAGRycy9kb3ducmV2LnhtbERPTWvCQBC9C/6HZQQvRTfRtmjqKkWRWgqFags9Dtkx&#10;CWZn0+yq6b/vHAoeH+97sepcrS7UhsqzgXScgCLOva24MPB52I5moEJEtlh7JgO/FGC17PcWmFl/&#10;5Q+67GOhJIRDhgbKGJtM65CX5DCMfUMs3NG3DqPAttC2xauEu1pPkuRRO6xYGkpsaF1SftqfnfSm&#10;7/P77zc7fzjkrz8vk7uvTbJLjRkOuucnUJG6eBP/u3fWwFTWyxf5AXr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woRcMAAADbAAAADwAAAAAAAAAAAAAAAACYAgAAZHJzL2Rv&#10;d25yZXYueG1sUEsFBgAAAAAEAAQA9QAAAIgDAAAAAA==&#10;" path="m154,2r,l140,,124,r,l106,,90,4,74,8,58,14r,l44,24,34,34,24,46,14,60r,l8,74,4,90,,108r,18l,126r,16l4,158r4,14l14,186r,l22,198r10,10l42,217r12,8l54,225r14,6l82,237r16,2l114,239r,l132,239r18,-4l166,231r14,-6l180,223r,-47l178,176r,l166,184r-14,6l152,190r-14,4l126,196r,l110,194,96,190,86,184,74,176r,l66,166,60,152,58,138,56,122r,l58,104,62,90,68,76,76,64r,l86,56,98,50r14,-4l126,44r,l140,46r12,2l166,54r12,8l180,64r,-52l180,10r,l168,6,154,2xe" fillcolor="#747474" stroked="f">
                  <v:path arrowok="t" o:connecttype="custom" o:connectlocs="244475,3175;196850,0;168275,0;117475,12700;92075,22225;53975,53975;22225,95250;12700,117475;0,171450;0,200025;6350,250825;22225,295275;34925,314325;66675,344488;85725,357188;130175,376238;180975,379413;209550,379413;263525,366713;285750,354013;282575,279400;263525,292100;241300,301625;200025,311150;174625,307975;136525,292100;117475,279400;95250,241300;88900,193675;92075,165100;107950,120650;120650,101600;155575,79375;200025,69850;222250,73025;263525,85725;285750,101600;285750,15875;266700,9525" o:connectangles="0,0,0,0,0,0,0,0,0,0,0,0,0,0,0,0,0,0,0,0,0,0,0,0,0,0,0,0,0,0,0,0,0,0,0,0,0,0,0"/>
                </v:shape>
                <v:shape id="Freeform 31" o:spid="_x0000_s1032" style="position:absolute;left:27509;top:5657;width:2858;height:3794;visibility:visible;mso-wrap-style:square;v-text-anchor:top" coordsize="180,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nTMQA&#10;AADbAAAADwAAAGRycy9kb3ducmV2LnhtbESPS2vDMBCE74X8B7GBXEoiOwVjnCghCZSEQiHP+2Kt&#10;H8RaGUu13X9fFQo9DjPzDbPejqYRPXWutqwgXkQgiHOray4V3G/v8xSE88gaG8uk4JscbDeTlzVm&#10;2g58of7qSxEg7DJUUHnfZlK6vCKDbmFb4uAVtjPog+xKqTscAtw0chlFiTRYc1iosKVDRfnz+mUU&#10;pPvzpx2S/fH8iF/j9CMpirbslZpNx90KhKfR/4f/2iet4C2G3y/hB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mJ0zEAAAA2wAAAA8AAAAAAAAAAAAAAAAAmAIAAGRycy9k&#10;b3ducmV2LnhtbFBLBQYAAAAABAAEAPUAAACJAwAAAAA=&#10;" path="m154,2r,l140,,124,r,l106,,90,4,74,8,58,14r,l44,24,34,34,24,46,14,60r,l8,74,4,90,,108r,18l,126r,16l4,158r4,14l14,186r,l22,198r10,10l42,217r12,8l54,225r14,6l82,237r16,2l114,239r,l132,239r18,-4l166,231r14,-6l180,223r,-47l178,176r,l166,184r-14,6l152,190r-14,4l126,196r,l110,194,96,190,86,184,74,176r,l66,166,60,152,58,138,56,122r,l58,104,62,90,68,76,76,64r,l86,56,98,50r14,-4l126,44r,l140,46r12,2l166,54r12,8l180,64r,-52l180,10r,l168,6,154,2e" filled="f" stroked="f">
                  <v:path arrowok="t" o:connecttype="custom" o:connectlocs="244475,3175;196850,0;168275,0;117475,12700;92075,22225;53975,53975;22225,95250;12700,117475;0,171450;0,200025;6350,250825;22225,295275;34925,314325;66675,344488;85725,357188;130175,376238;180975,379413;209550,379413;263525,366713;285750,354013;282575,279400;263525,292100;241300,301625;200025,311150;174625,307975;136525,292100;117475,279400;95250,241300;88900,193675;92075,165100;107950,120650;120650,101600;155575,79375;200025,69850;222250,73025;263525,85725;285750,101600;285750,15875;266700,9525" o:connectangles="0,0,0,0,0,0,0,0,0,0,0,0,0,0,0,0,0,0,0,0,0,0,0,0,0,0,0,0,0,0,0,0,0,0,0,0,0,0,0"/>
                </v:shape>
                <v:shape id="Freeform 32" o:spid="_x0000_s1033" style="position:absolute;left:31033;top:5657;width:2128;height:3731;visibility:visible;mso-wrap-style:square;v-text-anchor:top" coordsize="134,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fHv8MA&#10;AADbAAAADwAAAGRycy9kb3ducmV2LnhtbESPQWsCMRSE74L/ITyht5rVYlu2mxURpO2l6Fbo9bF5&#10;3axuXpYk1fXfm4LgcZiZb5hiOdhOnMiH1rGC2TQDQVw73XKjYP+9eXwFESKyxs4xKbhQgGU5HhWY&#10;a3fmHZ2q2IgE4ZCjAhNjn0sZakMWw9T1xMn7dd5iTNI3Uns8J7jt5DzLnqXFltOCwZ7Whupj9WcV&#10;RPq57P1hReZz8/L+VQ19u8WFUg+TYfUGItIQ7+Fb+0MreJrD/5f0A2R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fHv8MAAADbAAAADwAAAAAAAAAAAAAAAACYAgAAZHJzL2Rv&#10;d25yZXYueG1sUEsFBgAAAAAEAAQA9QAAAIgDAAAAAA==&#10;" path="m112,r,l102,2,92,4,84,8,74,14r,l68,20r-6,8l54,44r,l54,4,,4,,235r54,l54,118r,l54,102,56,90,62,78,68,68r,l74,60r8,-6l92,50r10,l102,50r16,2l118,52r14,6l134,58r,-54l132,4r,l124,2,112,xe" fillcolor="#747474" stroked="f">
                  <v:path arrowok="t" o:connecttype="custom" o:connectlocs="177800,0;177800,0;161925,3175;146050,6350;133350,12700;117475,22225;117475,22225;107950,31750;98425,44450;85725,69850;85725,69850;85725,6350;0,6350;0,373063;85725,373063;85725,187325;85725,187325;85725,161925;88900,142875;98425,123825;107950,107950;107950,107950;117475,95250;130175,85725;146050,79375;161925,79375;161925,79375;187325,82550;187325,82550;209550,92075;212725,92075;212725,6350;209550,6350;209550,6350;196850,3175;177800,0" o:connectangles="0,0,0,0,0,0,0,0,0,0,0,0,0,0,0,0,0,0,0,0,0,0,0,0,0,0,0,0,0,0,0,0,0,0,0,0"/>
                </v:shape>
                <v:shape id="Freeform 33" o:spid="_x0000_s1034" style="position:absolute;left:31033;top:5657;width:2128;height:3731;visibility:visible;mso-wrap-style:square;v-text-anchor:top" coordsize="134,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f81sMA&#10;AADbAAAADwAAAGRycy9kb3ducmV2LnhtbESPQWsCMRSE7wX/Q3iCt5pVQcrWKCoIorag1vtj87q7&#10;dPOyJlGjv74pFDwOM/MNM5lF04grOV9bVjDoZyCIC6trLhV8HVevbyB8QNbYWCYFd/Iwm3ZeJphr&#10;e+M9XQ+hFAnCPkcFVQhtLqUvKjLo+7YlTt63dQZDkq6U2uEtwU0jh1k2lgZrTgsVtrSsqPg5XIyC&#10;4eO8setQnj4W25PLYvzczfVFqV43zt9BBIrhGf5vr7WC0Qj+vqQfIK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f81sMAAADbAAAADwAAAAAAAAAAAAAAAACYAgAAZHJzL2Rv&#10;d25yZXYueG1sUEsFBgAAAAAEAAQA9QAAAIgDAAAAAA==&#10;" path="m112,r,l102,2,92,4,84,8,74,14r,l68,20r-6,8l54,44r,l54,4,,4,,235r54,l54,118r,l54,102,56,90,62,78,68,68r,l74,60r8,-6l92,50r10,l102,50r16,2l118,52r14,6l134,58r,-54l132,4r,l124,2,112,e" filled="f" stroked="f">
                  <v:path arrowok="t" o:connecttype="custom" o:connectlocs="177800,0;177800,0;161925,3175;146050,6350;133350,12700;117475,22225;117475,22225;107950,31750;98425,44450;85725,69850;85725,69850;85725,6350;0,6350;0,373063;85725,373063;85725,187325;85725,187325;85725,161925;88900,142875;98425,123825;107950,107950;107950,107950;117475,95250;130175,85725;146050,79375;161925,79375;161925,79375;187325,82550;187325,82550;209550,92075;212725,92075;212725,6350;209550,6350;209550,6350;196850,3175;177800,0" o:connectangles="0,0,0,0,0,0,0,0,0,0,0,0,0,0,0,0,0,0,0,0,0,0,0,0,0,0,0,0,0,0,0,0,0,0,0,0"/>
                </v:shape>
                <v:shape id="Freeform 34" o:spid="_x0000_s1035" style="position:absolute;left:33192;top:5657;width:3779;height:3794;visibility:visible;mso-wrap-style:square;v-text-anchor:top" coordsize="238,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wJEMUA&#10;AADbAAAADwAAAGRycy9kb3ducmV2LnhtbESPzW7CMBCE75X6DtZW6g2c0gqhFIMoalQu5bcPsMRL&#10;HBGv09iElKfHSEg9jmbmG8142tlKtNT40rGCl34Cgjh3uuRCwc8u641A+ICssXJMCv7Iw3Ty+DDG&#10;VLszb6jdhkJECPsUFZgQ6lRKnxuy6PuuJo7ewTUWQ5RNIXWD5wi3lRwkyVBaLDkuGKxpbig/bk9W&#10;wcfSfK7s8bRr95evwzr7rn4Xy0yp56du9g4iUBf+w/f2Qit4fYPbl/gD5O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7AkQxQAAANsAAAAPAAAAAAAAAAAAAAAAAJgCAABkcnMv&#10;ZG93bnJldi54bWxQSwUGAAAAAAQABAD1AAAAigMAAAAA&#10;" path="m122,r,l96,2,72,8,60,12,50,18r-8,6l32,32r,l26,40,18,50,14,60,8,72,2,96,,122r,l2,148r6,24l18,192r6,8l32,208r,l40,215r10,6l70,231r22,6l116,239r,l144,237r22,-6l178,227r10,-6l196,213r8,-5l204,208r8,-10l220,188r4,-10l230,168r6,-24l238,118r,l236,92,230,68,220,48,214,38r-8,-8l206,30r-8,-6l190,16,180,12,170,6,148,2,122,xm166,176r,l158,184r-12,6l134,194r-14,2l120,196r-14,-2l94,190,82,184r-8,-8l74,176,66,166,60,152,58,138,56,120r,l58,104,60,88,66,74,74,64r,l82,56,94,48r12,-2l120,44r,l134,46r12,2l156,54r8,8l164,62r8,12l176,86r4,16l182,120r,l180,138r-2,14l172,166r-6,10xe" fillcolor="#747474" stroked="f">
                  <v:path arrowok="t" o:connecttype="custom" o:connectlocs="193675,0;114300,12700;79375,28575;50800,50800;41275,63500;22225,95250;3175,152400;0,193675;12700,273050;38100,317500;50800,330200;79375,350838;146050,376238;184150,379413;263525,366713;298450,350838;323850,330200;336550,314325;355600,282575;374650,228600;377825,187325;365125,107950;339725,60325;327025,47625;301625,25400;269875,9525;193675,0;263525,279400;231775,301625;190500,311150;168275,307975;130175,292100;117475,279400;95250,241300;88900,190500;92075,165100;104775,117475;117475,101600;149225,76200;190500,69850;212725,73025;247650,85725;260350,98425;279400,136525;288925,190500;285750,219075;273050,263525" o:connectangles="0,0,0,0,0,0,0,0,0,0,0,0,0,0,0,0,0,0,0,0,0,0,0,0,0,0,0,0,0,0,0,0,0,0,0,0,0,0,0,0,0,0,0,0,0,0,0"/>
                  <o:lock v:ext="edit" verticies="t"/>
                </v:shape>
                <v:shape id="Freeform 35" o:spid="_x0000_s1036" style="position:absolute;left:33192;top:5657;width:3779;height:3794;visibility:visible;mso-wrap-style:square;v-text-anchor:top" coordsize="238,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TZMsYA&#10;AADbAAAADwAAAGRycy9kb3ducmV2LnhtbESPW2vCQBSE3wv+h+UU+lJ0U4NFoqtIL2ChF7wgPh6z&#10;p0lo9mzInmr8965Q6OMwM98w03nnanWkNlSeDTwMElDEubcVFwa2m9f+GFQQZIu1ZzJwpgDzWe9m&#10;ipn1J17RcS2FihAOGRooRZpM65CX5DAMfEMcvW/fOpQo20LbFk8R7mo9TJJH7bDiuFBiQ08l5T/r&#10;X2dg9yLp56G7fx5+HL4K/S5v+/TcGHN32y0moIQ6+Q//tZfWQDqC65f4A/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TZMsYAAADbAAAADwAAAAAAAAAAAAAAAACYAgAAZHJz&#10;L2Rvd25yZXYueG1sUEsFBgAAAAAEAAQA9QAAAIsDAAAAAA==&#10;" path="m122,r,l96,2,72,8,60,12,50,18r-8,6l32,32r,l26,40,18,50,14,60,8,72,2,96,,122r,l2,148r6,24l18,192r6,8l32,208r,l40,215r10,6l70,231r22,6l116,239r,l144,237r22,-6l178,227r10,-6l196,213r8,-5l204,208r8,-10l220,188r4,-10l230,168r6,-24l238,118r,l236,92,230,68,220,48,214,38r-8,-8l206,30r-8,-6l190,16,180,12,170,6,148,2,122,e" filled="f" stroked="f">
                  <v:path arrowok="t" o:connecttype="custom" o:connectlocs="193675,0;193675,0;152400,3175;114300,12700;95250,19050;79375,28575;66675,38100;50800,50800;50800,50800;41275,63500;28575,79375;22225,95250;12700,114300;3175,152400;0,193675;0,193675;3175,234950;12700,273050;28575,304800;38100,317500;50800,330200;50800,330200;63500,341313;79375,350838;111125,366713;146050,376238;184150,379413;184150,379413;228600,376238;263525,366713;282575,360363;298450,350838;311150,338138;323850,330200;323850,330200;336550,314325;349250,298450;355600,282575;365125,266700;374650,228600;377825,187325;377825,187325;374650,146050;365125,107950;349250,76200;339725,60325;327025,47625;327025,47625;314325,38100;301625,25400;285750,19050;269875,9525;234950,3175;193675,0" o:connectangles="0,0,0,0,0,0,0,0,0,0,0,0,0,0,0,0,0,0,0,0,0,0,0,0,0,0,0,0,0,0,0,0,0,0,0,0,0,0,0,0,0,0,0,0,0,0,0,0,0,0,0,0,0,0"/>
                </v:shape>
                <v:shape id="Freeform 45" o:spid="_x0000_s1037" style="position:absolute;left:34081;top:6355;width:2001;height:2413;visibility:visible;mso-wrap-style:square;v-text-anchor:top" coordsize="126,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PeIsEA&#10;AADbAAAADwAAAGRycy9kb3ducmV2LnhtbESPQYvCMBSE74L/ITzBmyZbd0W6jSKi4mEvVn/Ao3nb&#10;lm1eSpNq/fdmQfA4zHwzTLYZbCNu1PnasYaPuQJBXDhTc6nhejnMViB8QDbYOCYND/KwWY9HGabG&#10;3flMtzyUIpawT1FDFUKbSumLiiz6uWuJo/frOoshyq6UpsN7LLeNTJRaSos1x4UKW9pVVPzlvdXw&#10;mfxgvzir/aFRx1qeXJLz1Wo9nQzbbxCBhvAOv+iTidwX/H+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z3iLBAAAA2wAAAA8AAAAAAAAAAAAAAAAAmAIAAGRycy9kb3du&#10;cmV2LnhtbFBLBQYAAAAABAAEAPUAAACGAwAAAAA=&#10;" path="m110,132r,l102,140r-12,6l78,150r-14,2l64,152,50,150,38,146,26,140r-8,-8l18,132,10,122,4,108,2,94,,76r,l2,60,4,44,10,30,18,20r,l26,12,38,4,50,2,64,r,l78,2,90,4r10,6l108,18r,l116,30r4,12l124,58r2,18l126,76r-2,18l122,108r-6,14l110,132e" filled="f" stroked="f">
                  <v:path arrowok="t" o:connecttype="custom" o:connectlocs="174625,209550;174625,209550;161925,222250;142875,231775;123825,238125;101600,241300;101600,241300;79375,238125;60325,231775;41275,222250;28575,209550;28575,209550;15875,193675;6350,171450;3175,149225;0,120650;0,120650;3175,95250;6350,69850;15875,47625;28575,31750;28575,31750;41275,19050;60325,6350;79375,3175;101600,0;101600,0;123825,3175;142875,6350;158750,15875;171450,28575;171450,28575;184150,47625;190500,66675;196850,92075;200025,120650;200025,120650;196850,149225;193675,171450;184150,193675;174625,209550" o:connectangles="0,0,0,0,0,0,0,0,0,0,0,0,0,0,0,0,0,0,0,0,0,0,0,0,0,0,0,0,0,0,0,0,0,0,0,0,0,0,0,0,0"/>
                </v:shape>
                <v:shape id="Freeform 46" o:spid="_x0000_s1038" style="position:absolute;left:37383;top:5657;width:2397;height:3794;visibility:visible;mso-wrap-style:square;v-text-anchor:top" coordsize="151,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FQO8QA&#10;AADbAAAADwAAAGRycy9kb3ducmV2LnhtbESP3WrCQBSE74W+w3IKvdNNikiNriKFBmlBqD/g5WH3&#10;mIRkz4bsVqNP3xUEL4eZ+YaZL3vbiDN1vnKsIB0lIIi1MxUXCva7r+EHCB+QDTaOScGVPCwXL4M5&#10;ZsZd+JfO21CICGGfoYIyhDaT0uuSLPqRa4mjd3KdxRBlV0jT4SXCbSPfk2QiLVYcF0ps6bMkXW//&#10;rIJjfay/8zzdHHKDt+kPpRutD0q9vfarGYhAfXiGH+21UTCewP1L/AF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xUDvEAAAA2wAAAA8AAAAAAAAAAAAAAAAAmAIAAGRycy9k&#10;b3ducmV2LnhtbFBLBQYAAAAABAAEAPUAAACJAwAAAAA=&#10;" path="m93,100r,l72,90,62,82r,l56,76,54,66r,l56,56r6,-8l62,48,72,44,85,42r,l99,44r14,2l113,46r14,6l137,58r2,2l139,10r,-2l139,8,127,4,113,2r,l99,,87,r,l70,,52,4,38,10,24,18r,l14,30,6,42,2,54,,70r,l,86,4,98r,l12,110r10,10l22,120r14,10l54,138r,l81,152r,l89,156r4,6l93,162r4,6l97,174r,l97,180r-2,4l93,188r-4,4l77,196r-15,2l62,198,48,196,32,192r,l16,186,2,176,,174r,53l,227r,l14,233r16,4l30,237r16,2l60,239r,l79,239r18,-4l113,229r14,-10l127,219r10,-10l145,198r6,-14l151,168r,l151,158r-2,-12l145,138r-6,-10l139,128r-8,-6l121,114r-14,-8l93,100xe" fillcolor="#747474" stroked="f">
                  <v:path arrowok="t" o:connecttype="custom" o:connectlocs="147638,158750;98425,130175;88900,120650;85725,104775;98425,76200;114300,69850;134938,66675;179388,73025;201613,82550;220663,95250;220663,12700;201613,6350;179388,3175;138113,0;111125,0;60325,15875;38100,28575;9525,66675;0,111125;0,136525;6350,155575;34925,190500;57150,206375;85725,219075;128588,241300;147638,257175;153988,266700;153988,276225;150813,292100;141288,304800;98425,314325;76200,311150;50800,304800;3175,279400;0,360363;0,360363;47625,376238;73025,379413;95250,379413;153988,373063;201613,347663;217488,331788;239713,292100;239713,266700;236538,231775;220663,203200;207963,193675;169863,168275" o:connectangles="0,0,0,0,0,0,0,0,0,0,0,0,0,0,0,0,0,0,0,0,0,0,0,0,0,0,0,0,0,0,0,0,0,0,0,0,0,0,0,0,0,0,0,0,0,0,0,0"/>
                </v:shape>
                <v:shape id="Freeform 83" o:spid="_x0000_s1039" style="position:absolute;left:37383;top:5657;width:2397;height:3794;visibility:visible;mso-wrap-style:square;v-text-anchor:top" coordsize="151,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9PK8IA&#10;AADbAAAADwAAAGRycy9kb3ducmV2LnhtbESP3WrCQBCF7wt9h2WE3tWNFotNXaWWKtI7fx5g2B2T&#10;YHY2zU5NfHtXELw8nJ+PM1v0vlZnamMV2MBomIEitsFVXBg47FevU1BRkB3WgcnAhSIs5s9PM8xd&#10;6HhL550UKo1wzNFAKdLkWkdbksc4DA1x8o6h9ShJtoV2LXZp3Nd6nGXv2mPFiVBiQ98l2dPu3yfI&#10;z59MrP2YLMfr42HbjVh+l2zMy6D/+gQl1MsjfG9vnIHpG9y+pB+g5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j08rwgAAANsAAAAPAAAAAAAAAAAAAAAAAJgCAABkcnMvZG93&#10;bnJldi54bWxQSwUGAAAAAAQABAD1AAAAhwMAAAAA&#10;" path="m93,100r,l72,90,62,82r,l56,76,54,66r,l56,56r6,-8l62,48,72,44,85,42r,l99,44r14,2l113,46r14,6l137,58r2,2l139,10r,-2l139,8,127,4,113,2r,l99,,87,r,l70,,52,4,38,10,24,18r,l14,30,6,42,2,54,,70r,l,86,4,98r,l12,110r10,10l22,120r14,10l54,138r,l81,152r,l89,156r4,6l93,162r4,6l97,174r,l97,180r-2,4l93,188r-4,4l77,196r-15,2l62,198,48,196,32,192r,l16,186,2,176,,174r,53l,227r,l14,233r16,4l30,237r16,2l60,239r,l79,239r18,-4l113,229r14,-10l127,219r10,-10l145,198r6,-14l151,168r,l151,158r-2,-12l145,138r-6,-10l139,128r-8,-6l121,114r-14,-8l93,100e" filled="f" stroked="f">
                  <v:path arrowok="t" o:connecttype="custom" o:connectlocs="147638,158750;98425,130175;88900,120650;85725,104775;98425,76200;114300,69850;134938,66675;179388,73025;201613,82550;220663,95250;220663,12700;201613,6350;179388,3175;138113,0;111125,0;60325,15875;38100,28575;9525,66675;0,111125;0,136525;6350,155575;34925,190500;57150,206375;85725,219075;128588,241300;147638,257175;153988,266700;153988,276225;150813,292100;141288,304800;98425,314325;76200,311150;50800,304800;3175,279400;0,360363;0,360363;47625,376238;73025,379413;95250,379413;153988,373063;201613,347663;217488,331788;239713,292100;239713,266700;236538,231775;220663,203200;207963,193675;169863,168275" o:connectangles="0,0,0,0,0,0,0,0,0,0,0,0,0,0,0,0,0,0,0,0,0,0,0,0,0,0,0,0,0,0,0,0,0,0,0,0,0,0,0,0,0,0,0,0,0,0,0,0"/>
                </v:shape>
                <v:shape id="Freeform 88" o:spid="_x0000_s1040" style="position:absolute;left:40161;top:5657;width:3779;height:3794;visibility:visible;mso-wrap-style:square;v-text-anchor:top" coordsize="238,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7K8sIA&#10;AADbAAAADwAAAGRycy9kb3ducmV2LnhtbERPS27CMBDdI/UO1lTqjjjtokIBB0HVqGxKIXCAIR7i&#10;iHicxiakPX29qMTy6f0Xy9G2YqDeN44VPCcpCOLK6YZrBcdDMZ2B8AFZY+uYFPyQh2X+MFlgpt2N&#10;9zSUoRYxhH2GCkwIXSalrwxZ9InriCN3dr3FEGFfS93jLYbbVr6k6au02HBsMNjRm6HqUl6tgvXW&#10;vH/Zy/UwnH4/zrvis/3ebAulnh7H1RxEoDHcxf/ujVYwi2Pjl/gDZ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HsrywgAAANsAAAAPAAAAAAAAAAAAAAAAAJgCAABkcnMvZG93&#10;bnJldi54bWxQSwUGAAAAAAQABAD1AAAAhwMAAAAA&#10;" path="m122,r,l96,2,72,8,60,12,50,18r-8,6l32,32r,l26,40,18,50,14,60,8,72,2,96,,122r,l2,148r6,24l18,192r6,8l32,208r,l40,215r10,6l70,231r22,6l116,239r,l144,237r22,-6l178,227r10,-6l196,213r8,-5l204,208r8,-10l220,188r4,-10l230,168r6,-24l238,118r,l236,92,230,68,220,48,214,38r-8,-8l206,30r-8,-6l190,16,180,12,170,6,148,2,122,xm166,176r,l158,184r-12,6l134,194r-14,2l120,196r-14,-2l94,190,82,184r-8,-8l74,176,66,166,60,152,58,138,56,120r,l58,104,60,88,66,74,74,64r,l82,56,94,48r12,-2l120,44r,l134,46r12,2l156,54r8,8l164,62r8,12l176,86r4,16l182,120r,l180,138r-2,14l172,166r-6,10xe" fillcolor="#747474" stroked="f">
                  <v:path arrowok="t" o:connecttype="custom" o:connectlocs="193675,0;114300,12700;79375,28575;50800,50800;41275,63500;22225,95250;3175,152400;0,193675;12700,273050;38100,317500;50800,330200;79375,350838;146050,376238;184150,379413;263525,366713;298450,350838;323850,330200;336550,314325;355600,282575;374650,228600;377825,187325;365125,107950;339725,60325;327025,47625;301625,25400;269875,9525;193675,0;263525,279400;231775,301625;190500,311150;168275,307975;130175,292100;117475,279400;95250,241300;88900,190500;92075,165100;104775,117475;117475,101600;149225,76200;190500,69850;212725,73025;247650,85725;260350,98425;279400,136525;288925,190500;285750,219075;273050,263525" o:connectangles="0,0,0,0,0,0,0,0,0,0,0,0,0,0,0,0,0,0,0,0,0,0,0,0,0,0,0,0,0,0,0,0,0,0,0,0,0,0,0,0,0,0,0,0,0,0,0"/>
                  <o:lock v:ext="edit" verticies="t"/>
                </v:shape>
                <v:shape id="Freeform 100" o:spid="_x0000_s1041" style="position:absolute;left:40161;top:5657;width:3779;height:3794;visibility:visible;mso-wrap-style:square;v-text-anchor:top" coordsize="238,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VHjscA&#10;AADcAAAADwAAAGRycy9kb3ducmV2LnhtbESPQUsDQQyF74L/YYjgRdrZtiCy7bQUq6CgLbZFPKY7&#10;6e7iTmbZie3235uD4C3hvbz3ZbboQ2NO1KU6soPRMANDXERfc+lgv3sePIBJguyxiUwOLpRgMb++&#10;mmHu45k/6LSV0mgIpxwdVCJtbm0qKgqYhrElVu0Yu4Cia1da3+FZw0Njx1l2bwPWrA0VtvRYUfG9&#10;/QkOPp9ksj70d6vx+2FT2jd5/ZpcWudub/rlFIxQL//mv+sXr/iZ4uszOoGd/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2lR47HAAAA3AAAAA8AAAAAAAAAAAAAAAAAmAIAAGRy&#10;cy9kb3ducmV2LnhtbFBLBQYAAAAABAAEAPUAAACMAwAAAAA=&#10;" path="m122,r,l96,2,72,8,60,12,50,18r-8,6l32,32r,l26,40,18,50,14,60,8,72,2,96,,122r,l2,148r6,24l18,192r6,8l32,208r,l40,215r10,6l70,231r22,6l116,239r,l144,237r22,-6l178,227r10,-6l196,213r8,-5l204,208r8,-10l220,188r4,-10l230,168r6,-24l238,118r,l236,92,230,68,220,48,214,38r-8,-8l206,30r-8,-6l190,16,180,12,170,6,148,2,122,e" filled="f" stroked="f">
                  <v:path arrowok="t" o:connecttype="custom" o:connectlocs="193675,0;193675,0;152400,3175;114300,12700;95250,19050;79375,28575;66675,38100;50800,50800;50800,50800;41275,63500;28575,79375;22225,95250;12700,114300;3175,152400;0,193675;0,193675;3175,234950;12700,273050;28575,304800;38100,317500;50800,330200;50800,330200;63500,341313;79375,350838;111125,366713;146050,376238;184150,379413;184150,379413;228600,376238;263525,366713;282575,360363;298450,350838;311150,338138;323850,330200;323850,330200;336550,314325;349250,298450;355600,282575;365125,266700;374650,228600;377825,187325;377825,187325;374650,146050;365125,107950;349250,76200;339725,60325;327025,47625;327025,47625;314325,38100;301625,25400;285750,19050;269875,9525;234950,3175;193675,0" o:connectangles="0,0,0,0,0,0,0,0,0,0,0,0,0,0,0,0,0,0,0,0,0,0,0,0,0,0,0,0,0,0,0,0,0,0,0,0,0,0,0,0,0,0,0,0,0,0,0,0,0,0,0,0,0,0"/>
                </v:shape>
                <v:shape id="Freeform 101" o:spid="_x0000_s1042" style="position:absolute;left:41050;top:6355;width:2001;height:2413;visibility:visible;mso-wrap-style:square;v-text-anchor:top" coordsize="126,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sxlMAA&#10;AADcAAAADwAAAGRycy9kb3ducmV2LnhtbERPzYrCMBC+C75DGMGbJq3LsnQbRWQVD3ux9gGGZmyL&#10;zaQ0qXbf3iws7G0+vt/Jd5PtxIMG3zrWkKwVCOLKmZZrDeX1uPoA4QOywc4xafghD7vtfJZjZtyT&#10;L/QoQi1iCPsMNTQh9JmUvmrIol+7njhyNzdYDBEOtTQDPmO47WSq1Lu02HJsaLCnQ0PVvRithrf0&#10;G8fNRX0dO3Vq5dmlBZdW6+Vi2n+CCDSFf/Gf+2zifJXA7zPxArl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osxlMAAAADcAAAADwAAAAAAAAAAAAAAAACYAgAAZHJzL2Rvd25y&#10;ZXYueG1sUEsFBgAAAAAEAAQA9QAAAIUDAAAAAA==&#10;" path="m110,132r,l102,140r-12,6l78,150r-14,2l64,152,50,150,38,146,26,140r-8,-8l18,132,10,122,4,108,2,94,,76r,l2,60,4,44,10,30,18,20r,l26,12,38,4,50,2,64,r,l78,2,90,4r10,6l108,18r,l116,30r4,12l124,58r2,18l126,76r-2,18l122,108r-6,14l110,132e" filled="f" stroked="f">
                  <v:path arrowok="t" o:connecttype="custom" o:connectlocs="174625,209550;174625,209550;161925,222250;142875,231775;123825,238125;101600,241300;101600,241300;79375,238125;60325,231775;41275,222250;28575,209550;28575,209550;15875,193675;6350,171450;3175,149225;0,120650;0,120650;3175,95250;6350,69850;15875,47625;28575,31750;28575,31750;41275,19050;60325,6350;79375,3175;101600,0;101600,0;123825,3175;142875,6350;158750,15875;171450,28575;171450,28575;184150,47625;190500,66675;196850,92075;200025,120650;200025,120650;196850,149225;193675,171450;184150,193675;174625,209550" o:connectangles="0,0,0,0,0,0,0,0,0,0,0,0,0,0,0,0,0,0,0,0,0,0,0,0,0,0,0,0,0,0,0,0,0,0,0,0,0,0,0,0,0"/>
                </v:shape>
                <v:shape id="Freeform 102" o:spid="_x0000_s1043" style="position:absolute;left:44003;top:3927;width:4509;height:5524;visibility:visible;mso-wrap-style:square;v-text-anchor:top" coordsize="284,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S/WcMA&#10;AADcAAAADwAAAGRycy9kb3ducmV2LnhtbERP32vCMBB+F/Y/hBv4IpoqoyudUYYgykBEN2SPt+aW&#10;ljWX2kSt/70RhL3dx/fzpvPO1uJMra8cKxiPEhDEhdMVGwVfn8thBsIHZI21Y1JwJQ/z2VNvirl2&#10;F97ReR+MiCHsc1RQhtDkUvqiJIt+5BriyP261mKIsDVSt3iJ4baWkyRJpcWKY0OJDS1KKv72J6ug&#10;+9FmdfDZ0Qy2m+/s9SPl9CVVqv/cvb+BCNSFf/HDvdZxfjKB+zPxAj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S/WcMAAADcAAAADwAAAAAAAAAAAAAAAACYAgAAZHJzL2Rv&#10;d25yZXYueG1sUEsFBgAAAAAEAAQA9QAAAIgDAAAAAA==&#10;" path="m284,157r,-44l230,113r,-67l228,46,176,61r,l176,113r-82,l94,85r,l94,75r2,-8l98,59r4,-6l102,53r6,-3l114,48r6,-2l128,44r,l140,46r12,4l154,50r,-46l152,4r,l140,,122,r,l110,,100,2,88,6r-8,4l80,10,70,16r-8,6l56,30,50,40r,l44,50r-2,9l40,69,38,81r,32l,113r,44l38,157r,187l94,344r,-187l176,157r,120l176,277r,16l180,309r4,11l192,330r10,8l214,344r14,4l244,348r,l254,348r12,-2l266,346r18,-6l284,340r,-43l282,299r,l272,303r,l260,305r,l252,305r-6,-2l242,299r-6,-2l236,297r-2,-6l232,285r-2,-18l230,157r54,xe" fillcolor="#747474" stroked="f">
                  <v:path arrowok="t" o:connecttype="custom" o:connectlocs="450850,179388;365125,73025;279400,96838;279400,179388;149225,134938;149225,119063;155575,93663;161925,84138;180975,76200;203200,69850;222250,73025;244475,79375;241300,6350;222250,0;193675,0;158750,3175;127000,15875;111125,25400;88900,47625;79375,63500;66675,93663;60325,128588;0,179388;60325,249238;149225,546100;279400,249238;279400,439738;285750,490538;304800,523875;339725,546100;387350,552450;403225,552450;422275,549275;450850,539750;447675,474663;431800,481013;412750,484188;400050,484188;384175,474663;374650,471488;368300,452438;365125,249238" o:connectangles="0,0,0,0,0,0,0,0,0,0,0,0,0,0,0,0,0,0,0,0,0,0,0,0,0,0,0,0,0,0,0,0,0,0,0,0,0,0,0,0,0,0"/>
                </v:shape>
                <v:rect id="Rectangle 106" o:spid="_x0000_s1044" style="position:absolute;left:8634;top:2593;width:4064;height:4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ABAcMA&#10;AADcAAAADwAAAGRycy9kb3ducmV2LnhtbERPTWvCQBC9C/0PyxS86SYqUqKrtGKhBz1UheptyE6y&#10;wexsyG419de7QsHbPN7nzJedrcWFWl85VpAOExDEudMVlwoO+8/BGwgfkDXWjknBH3lYLl56c8y0&#10;u/I3XXahFDGEfYYKTAhNJqXPDVn0Q9cQR65wrcUQYVtK3eI1httajpJkKi1WHBsMNrQylJ93v1bB&#10;Ddfp8cdNTFGetuOPIj3sN7RWqv/avc9ABOrCU/zv/tJxfjKFxzPxAr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8ABAcMAAADcAAAADwAAAAAAAAAAAAAAAACYAgAAZHJzL2Rv&#10;d25yZXYueG1sUEsFBgAAAAAEAAQA9QAAAIgDAAAAAA==&#10;" fillcolor="#f05225" stroked="f"/>
                <v:rect id="Rectangle 107" o:spid="_x0000_s1045" style="position:absolute;left:13110;top:2593;width:4064;height:4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7ANsIA&#10;AADcAAAADwAAAGRycy9kb3ducmV2LnhtbERP24rCMBB9F/Yfwgi+aaqCLl2juF5AHwR19wOGZrbt&#10;2kxKErX69UYQfJvDuc5k1phKXMj50rKCfi8BQZxZXXKu4Pdn3f0E4QOyxsoyKbiRh9n0ozXBVNsr&#10;H+hyDLmIIexTVFCEUKdS+qwgg75na+LI/VlnMETocqkdXmO4qeQgSUbSYMmxocCaFgVlp+PZKDhv&#10;+3e3z+cjOVx9b/6Xy3K8GyyU6rSb+ReIQE14i1/ujY7zkzE8n4kX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3sA2wgAAANwAAAAPAAAAAAAAAAAAAAAAAJgCAABkcnMvZG93&#10;bnJldi54bWxQSwUGAAAAAAQABAD1AAAAhwMAAAAA&#10;" fillcolor="#7fbb42" stroked="f"/>
                <v:rect id="Rectangle 117" o:spid="_x0000_s1046" style="position:absolute;left:8634;top:7054;width:4064;height:4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1LoMMA&#10;AADcAAAADwAAAGRycy9kb3ducmV2LnhtbERP24rCMBB9F/Yfwgj7Ipq6BZVqlNVFEIQFb/g6NGNb&#10;bSalydr690ZY8G0O5zqzRWtKcafaFZYVDAcRCOLU6oIzBcfDuj8B4TyyxtIyKXiQg8X8ozPDRNuG&#10;d3Tf+0yEEHYJKsi9rxIpXZqTQTewFXHgLrY26AOsM6lrbEK4KeVXFI2kwYJDQ44VrXJKb/s/o2DZ&#10;rMer2PViuv40p+2yd95MfmOlPrvt9xSEp9a/xf/ujQ7zh2N4PRMu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1LoMMAAADcAAAADwAAAAAAAAAAAAAAAACYAgAAZHJzL2Rv&#10;d25yZXYueG1sUEsFBgAAAAAEAAQA9QAAAIgDAAAAAA==&#10;" fillcolor="#33a0da" stroked="f"/>
                <v:rect id="Rectangle 118" o:spid="_x0000_s1047" style="position:absolute;left:13110;top:7054;width:4064;height:4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6j68YA&#10;AADcAAAADwAAAGRycy9kb3ducmV2LnhtbESPQWvCQBCF70L/wzKFXqRuLEVCdJVSKJRaBG2L12l2&#10;mqTJzobdVeO/dw6Ctxnem/e+WawG16kjhdh4NjCdZKCIS28brgx8f7095qBiQrbYeSYDZ4qwWt6N&#10;FlhYf+ItHXepUhLCsUADdUp9oXUsa3IYJ74nFu3PB4dJ1lBpG/Ak4a7TT1k20w4bloYae3qtqWx3&#10;B2fgs33+2fazvF23+jcM/x+bfd6MjXm4H17moBIN6Wa+Xr9bwZ8KrTwjE+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6j68YAAADcAAAADwAAAAAAAAAAAAAAAACYAgAAZHJz&#10;L2Rvd25yZXYueG1sUEsFBgAAAAAEAAQA9QAAAIsDAAAAAA==&#10;" fillcolor="#fdb813" stroked="f"/>
              </v:group>
            </w:pict>
          </mc:Fallback>
        </mc:AlternateContent>
      </w:r>
      <w:r w:rsidRPr="00143AB4">
        <w:rPr>
          <w:rFonts w:ascii="Arial" w:eastAsia="PMingLiU" w:hAnsi="Arial" w:cs="Times New Roman"/>
          <w:noProof/>
          <w:color w:val="000000"/>
          <w:szCs w:val="20"/>
          <w:lang w:val="en-GB" w:eastAsia="en-GB"/>
        </w:rPr>
        <mc:AlternateContent>
          <mc:Choice Requires="wpg">
            <w:drawing>
              <wp:anchor distT="0" distB="0" distL="114300" distR="114300" simplePos="0" relativeHeight="251674624" behindDoc="0" locked="0" layoutInCell="1" allowOverlap="1" wp14:anchorId="48A6D783" wp14:editId="43A69A66">
                <wp:simplePos x="0" y="0"/>
                <wp:positionH relativeFrom="column">
                  <wp:posOffset>1998980</wp:posOffset>
                </wp:positionH>
                <wp:positionV relativeFrom="paragraph">
                  <wp:posOffset>1210310</wp:posOffset>
                </wp:positionV>
                <wp:extent cx="932815" cy="375285"/>
                <wp:effectExtent l="0" t="0" r="635" b="5715"/>
                <wp:wrapNone/>
                <wp:docPr id="119" name="Group 39"/>
                <wp:cNvGraphicFramePr/>
                <a:graphic xmlns:a="http://schemas.openxmlformats.org/drawingml/2006/main">
                  <a:graphicData uri="http://schemas.microsoft.com/office/word/2010/wordprocessingGroup">
                    <wpg:wgp>
                      <wpg:cNvGrpSpPr/>
                      <wpg:grpSpPr>
                        <a:xfrm>
                          <a:off x="0" y="0"/>
                          <a:ext cx="932815" cy="375285"/>
                          <a:chOff x="932502" y="1211502"/>
                          <a:chExt cx="5038725" cy="2111375"/>
                        </a:xfrm>
                      </wpg:grpSpPr>
                      <wps:wsp>
                        <wps:cNvPr id="120" name="Freeform 120"/>
                        <wps:cNvSpPr>
                          <a:spLocks noEditPoints="1"/>
                        </wps:cNvSpPr>
                        <wps:spPr bwMode="auto">
                          <a:xfrm>
                            <a:off x="932502" y="1211502"/>
                            <a:ext cx="1725613" cy="498475"/>
                          </a:xfrm>
                          <a:custGeom>
                            <a:avLst/>
                            <a:gdLst>
                              <a:gd name="T0" fmla="*/ 0 w 1087"/>
                              <a:gd name="T1" fmla="*/ 0 h 314"/>
                              <a:gd name="T2" fmla="*/ 0 w 1087"/>
                              <a:gd name="T3" fmla="*/ 314 h 314"/>
                              <a:gd name="T4" fmla="*/ 0 w 1087"/>
                              <a:gd name="T5" fmla="*/ 314 h 314"/>
                              <a:gd name="T6" fmla="*/ 1087 w 1087"/>
                              <a:gd name="T7" fmla="*/ 314 h 314"/>
                              <a:gd name="T8" fmla="*/ 1087 w 1087"/>
                              <a:gd name="T9" fmla="*/ 0 h 314"/>
                              <a:gd name="T10" fmla="*/ 0 w 1087"/>
                              <a:gd name="T11" fmla="*/ 0 h 314"/>
                              <a:gd name="T12" fmla="*/ 1018 w 1087"/>
                              <a:gd name="T13" fmla="*/ 245 h 314"/>
                              <a:gd name="T14" fmla="*/ 69 w 1087"/>
                              <a:gd name="T15" fmla="*/ 245 h 314"/>
                              <a:gd name="T16" fmla="*/ 69 w 1087"/>
                              <a:gd name="T17" fmla="*/ 69 h 314"/>
                              <a:gd name="T18" fmla="*/ 1018 w 1087"/>
                              <a:gd name="T19" fmla="*/ 69 h 314"/>
                              <a:gd name="T20" fmla="*/ 1018 w 1087"/>
                              <a:gd name="T21" fmla="*/ 245 h 314"/>
                              <a:gd name="T22" fmla="*/ 1018 w 1087"/>
                              <a:gd name="T23" fmla="*/ 245 h 3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087" h="314">
                                <a:moveTo>
                                  <a:pt x="0" y="0"/>
                                </a:moveTo>
                                <a:lnTo>
                                  <a:pt x="0" y="314"/>
                                </a:lnTo>
                                <a:lnTo>
                                  <a:pt x="0" y="314"/>
                                </a:lnTo>
                                <a:lnTo>
                                  <a:pt x="1087" y="314"/>
                                </a:lnTo>
                                <a:lnTo>
                                  <a:pt x="1087" y="0"/>
                                </a:lnTo>
                                <a:lnTo>
                                  <a:pt x="0" y="0"/>
                                </a:lnTo>
                                <a:close/>
                                <a:moveTo>
                                  <a:pt x="1018" y="245"/>
                                </a:moveTo>
                                <a:lnTo>
                                  <a:pt x="69" y="245"/>
                                </a:lnTo>
                                <a:lnTo>
                                  <a:pt x="69" y="69"/>
                                </a:lnTo>
                                <a:lnTo>
                                  <a:pt x="1018" y="69"/>
                                </a:lnTo>
                                <a:lnTo>
                                  <a:pt x="1018" y="245"/>
                                </a:lnTo>
                                <a:lnTo>
                                  <a:pt x="1018" y="245"/>
                                </a:lnTo>
                                <a:close/>
                              </a:path>
                            </a:pathLst>
                          </a:custGeom>
                          <a:solidFill>
                            <a:srgbClr val="00B388"/>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21" name="Freeform 121"/>
                        <wps:cNvSpPr>
                          <a:spLocks noEditPoints="1"/>
                        </wps:cNvSpPr>
                        <wps:spPr bwMode="auto">
                          <a:xfrm>
                            <a:off x="932502" y="2033827"/>
                            <a:ext cx="5038725" cy="1289050"/>
                          </a:xfrm>
                          <a:custGeom>
                            <a:avLst/>
                            <a:gdLst>
                              <a:gd name="T0" fmla="*/ 80 w 1341"/>
                              <a:gd name="T1" fmla="*/ 52 h 342"/>
                              <a:gd name="T2" fmla="*/ 29 w 1341"/>
                              <a:gd name="T3" fmla="*/ 77 h 342"/>
                              <a:gd name="T4" fmla="*/ 212 w 1341"/>
                              <a:gd name="T5" fmla="*/ 93 h 342"/>
                              <a:gd name="T6" fmla="*/ 174 w 1341"/>
                              <a:gd name="T7" fmla="*/ 134 h 342"/>
                              <a:gd name="T8" fmla="*/ 272 w 1341"/>
                              <a:gd name="T9" fmla="*/ 132 h 342"/>
                              <a:gd name="T10" fmla="*/ 276 w 1341"/>
                              <a:gd name="T11" fmla="*/ 38 h 342"/>
                              <a:gd name="T12" fmla="*/ 327 w 1341"/>
                              <a:gd name="T13" fmla="*/ 132 h 342"/>
                              <a:gd name="T14" fmla="*/ 398 w 1341"/>
                              <a:gd name="T15" fmla="*/ 0 h 342"/>
                              <a:gd name="T16" fmla="*/ 402 w 1341"/>
                              <a:gd name="T17" fmla="*/ 134 h 342"/>
                              <a:gd name="T18" fmla="*/ 448 w 1341"/>
                              <a:gd name="T19" fmla="*/ 93 h 342"/>
                              <a:gd name="T20" fmla="*/ 448 w 1341"/>
                              <a:gd name="T21" fmla="*/ 74 h 342"/>
                              <a:gd name="T22" fmla="*/ 642 w 1341"/>
                              <a:gd name="T23" fmla="*/ 60 h 342"/>
                              <a:gd name="T24" fmla="*/ 642 w 1341"/>
                              <a:gd name="T25" fmla="*/ 131 h 342"/>
                              <a:gd name="T26" fmla="*/ 570 w 1341"/>
                              <a:gd name="T27" fmla="*/ 111 h 342"/>
                              <a:gd name="T28" fmla="*/ 530 w 1341"/>
                              <a:gd name="T29" fmla="*/ 60 h 342"/>
                              <a:gd name="T30" fmla="*/ 558 w 1341"/>
                              <a:gd name="T31" fmla="*/ 38 h 342"/>
                              <a:gd name="T32" fmla="*/ 738 w 1341"/>
                              <a:gd name="T33" fmla="*/ 89 h 342"/>
                              <a:gd name="T34" fmla="*/ 787 w 1341"/>
                              <a:gd name="T35" fmla="*/ 45 h 342"/>
                              <a:gd name="T36" fmla="*/ 736 w 1341"/>
                              <a:gd name="T37" fmla="*/ 65 h 342"/>
                              <a:gd name="T38" fmla="*/ 848 w 1341"/>
                              <a:gd name="T39" fmla="*/ 73 h 342"/>
                              <a:gd name="T40" fmla="*/ 876 w 1341"/>
                              <a:gd name="T41" fmla="*/ 73 h 342"/>
                              <a:gd name="T42" fmla="*/ 833 w 1341"/>
                              <a:gd name="T43" fmla="*/ 91 h 342"/>
                              <a:gd name="T44" fmla="*/ 965 w 1341"/>
                              <a:gd name="T45" fmla="*/ 43 h 342"/>
                              <a:gd name="T46" fmla="*/ 964 w 1341"/>
                              <a:gd name="T47" fmla="*/ 103 h 342"/>
                              <a:gd name="T48" fmla="*/ 1010 w 1341"/>
                              <a:gd name="T49" fmla="*/ 132 h 342"/>
                              <a:gd name="T50" fmla="*/ 1070 w 1341"/>
                              <a:gd name="T51" fmla="*/ 38 h 342"/>
                              <a:gd name="T52" fmla="*/ 1010 w 1341"/>
                              <a:gd name="T53" fmla="*/ 89 h 342"/>
                              <a:gd name="T54" fmla="*/ 1133 w 1341"/>
                              <a:gd name="T55" fmla="*/ 73 h 342"/>
                              <a:gd name="T56" fmla="*/ 1160 w 1341"/>
                              <a:gd name="T57" fmla="*/ 73 h 342"/>
                              <a:gd name="T58" fmla="*/ 1117 w 1341"/>
                              <a:gd name="T59" fmla="*/ 91 h 342"/>
                              <a:gd name="T60" fmla="*/ 1239 w 1341"/>
                              <a:gd name="T61" fmla="*/ 39 h 342"/>
                              <a:gd name="T62" fmla="*/ 1180 w 1341"/>
                              <a:gd name="T63" fmla="*/ 132 h 342"/>
                              <a:gd name="T64" fmla="*/ 1246 w 1341"/>
                              <a:gd name="T65" fmla="*/ 85 h 342"/>
                              <a:gd name="T66" fmla="*/ 1314 w 1341"/>
                              <a:gd name="T67" fmla="*/ 132 h 342"/>
                              <a:gd name="T68" fmla="*/ 1295 w 1341"/>
                              <a:gd name="T69" fmla="*/ 110 h 342"/>
                              <a:gd name="T70" fmla="*/ 18 w 1341"/>
                              <a:gd name="T71" fmla="*/ 231 h 342"/>
                              <a:gd name="T72" fmla="*/ 81 w 1341"/>
                              <a:gd name="T73" fmla="*/ 307 h 342"/>
                              <a:gd name="T74" fmla="*/ 164 w 1341"/>
                              <a:gd name="T75" fmla="*/ 307 h 342"/>
                              <a:gd name="T76" fmla="*/ 103 w 1341"/>
                              <a:gd name="T77" fmla="*/ 214 h 342"/>
                              <a:gd name="T78" fmla="*/ 252 w 1341"/>
                              <a:gd name="T79" fmla="*/ 229 h 342"/>
                              <a:gd name="T80" fmla="*/ 252 w 1341"/>
                              <a:gd name="T81" fmla="*/ 307 h 342"/>
                              <a:gd name="T82" fmla="*/ 211 w 1341"/>
                              <a:gd name="T83" fmla="*/ 214 h 342"/>
                              <a:gd name="T84" fmla="*/ 305 w 1341"/>
                              <a:gd name="T85" fmla="*/ 212 h 342"/>
                              <a:gd name="T86" fmla="*/ 338 w 1341"/>
                              <a:gd name="T87" fmla="*/ 285 h 342"/>
                              <a:gd name="T88" fmla="*/ 281 w 1341"/>
                              <a:gd name="T89" fmla="*/ 251 h 342"/>
                              <a:gd name="T90" fmla="*/ 403 w 1341"/>
                              <a:gd name="T91" fmla="*/ 229 h 342"/>
                              <a:gd name="T92" fmla="*/ 382 w 1341"/>
                              <a:gd name="T93" fmla="*/ 228 h 342"/>
                              <a:gd name="T94" fmla="*/ 430 w 1341"/>
                              <a:gd name="T95" fmla="*/ 342 h 342"/>
                              <a:gd name="T96" fmla="*/ 498 w 1341"/>
                              <a:gd name="T97" fmla="*/ 260 h 342"/>
                              <a:gd name="T98" fmla="*/ 577 w 1341"/>
                              <a:gd name="T99" fmla="*/ 212 h 342"/>
                              <a:gd name="T100" fmla="*/ 554 w 1341"/>
                              <a:gd name="T101" fmla="*/ 307 h 342"/>
                              <a:gd name="T102" fmla="*/ 623 w 1341"/>
                              <a:gd name="T103" fmla="*/ 187 h 342"/>
                              <a:gd name="T104" fmla="*/ 621 w 1341"/>
                              <a:gd name="T105" fmla="*/ 307 h 342"/>
                              <a:gd name="T106" fmla="*/ 644 w 1341"/>
                              <a:gd name="T107" fmla="*/ 300 h 342"/>
                              <a:gd name="T108" fmla="*/ 644 w 1341"/>
                              <a:gd name="T109" fmla="*/ 240 h 342"/>
                              <a:gd name="T110" fmla="*/ 661 w 1341"/>
                              <a:gd name="T111" fmla="*/ 238 h 342"/>
                              <a:gd name="T112" fmla="*/ 807 w 1341"/>
                              <a:gd name="T113" fmla="*/ 266 h 342"/>
                              <a:gd name="T114" fmla="*/ 772 w 1341"/>
                              <a:gd name="T115" fmla="*/ 309 h 3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341" h="342">
                                <a:moveTo>
                                  <a:pt x="29" y="132"/>
                                </a:moveTo>
                                <a:cubicBezTo>
                                  <a:pt x="0" y="132"/>
                                  <a:pt x="0" y="132"/>
                                  <a:pt x="0" y="132"/>
                                </a:cubicBezTo>
                                <a:cubicBezTo>
                                  <a:pt x="0" y="0"/>
                                  <a:pt x="0" y="0"/>
                                  <a:pt x="0" y="0"/>
                                </a:cubicBezTo>
                                <a:cubicBezTo>
                                  <a:pt x="29" y="0"/>
                                  <a:pt x="29" y="0"/>
                                  <a:pt x="29" y="0"/>
                                </a:cubicBezTo>
                                <a:cubicBezTo>
                                  <a:pt x="29" y="52"/>
                                  <a:pt x="29" y="52"/>
                                  <a:pt x="29" y="52"/>
                                </a:cubicBezTo>
                                <a:cubicBezTo>
                                  <a:pt x="80" y="52"/>
                                  <a:pt x="80" y="52"/>
                                  <a:pt x="80" y="52"/>
                                </a:cubicBezTo>
                                <a:cubicBezTo>
                                  <a:pt x="80" y="0"/>
                                  <a:pt x="80" y="0"/>
                                  <a:pt x="80" y="0"/>
                                </a:cubicBezTo>
                                <a:cubicBezTo>
                                  <a:pt x="109" y="0"/>
                                  <a:pt x="109" y="0"/>
                                  <a:pt x="109" y="0"/>
                                </a:cubicBezTo>
                                <a:cubicBezTo>
                                  <a:pt x="109" y="132"/>
                                  <a:pt x="109" y="132"/>
                                  <a:pt x="109" y="132"/>
                                </a:cubicBezTo>
                                <a:cubicBezTo>
                                  <a:pt x="80" y="132"/>
                                  <a:pt x="80" y="132"/>
                                  <a:pt x="80" y="132"/>
                                </a:cubicBezTo>
                                <a:cubicBezTo>
                                  <a:pt x="80" y="77"/>
                                  <a:pt x="80" y="77"/>
                                  <a:pt x="80" y="77"/>
                                </a:cubicBezTo>
                                <a:cubicBezTo>
                                  <a:pt x="29" y="77"/>
                                  <a:pt x="29" y="77"/>
                                  <a:pt x="29" y="77"/>
                                </a:cubicBezTo>
                                <a:lnTo>
                                  <a:pt x="29" y="132"/>
                                </a:lnTo>
                                <a:close/>
                                <a:moveTo>
                                  <a:pt x="174" y="134"/>
                                </a:moveTo>
                                <a:cubicBezTo>
                                  <a:pt x="145" y="134"/>
                                  <a:pt x="125" y="116"/>
                                  <a:pt x="125" y="85"/>
                                </a:cubicBezTo>
                                <a:cubicBezTo>
                                  <a:pt x="125" y="56"/>
                                  <a:pt x="144" y="36"/>
                                  <a:pt x="170" y="36"/>
                                </a:cubicBezTo>
                                <a:cubicBezTo>
                                  <a:pt x="198" y="36"/>
                                  <a:pt x="212" y="55"/>
                                  <a:pt x="212" y="83"/>
                                </a:cubicBezTo>
                                <a:cubicBezTo>
                                  <a:pt x="212" y="93"/>
                                  <a:pt x="212" y="93"/>
                                  <a:pt x="212" y="93"/>
                                </a:cubicBezTo>
                                <a:cubicBezTo>
                                  <a:pt x="152" y="93"/>
                                  <a:pt x="152" y="93"/>
                                  <a:pt x="152" y="93"/>
                                </a:cubicBezTo>
                                <a:cubicBezTo>
                                  <a:pt x="155" y="108"/>
                                  <a:pt x="167" y="112"/>
                                  <a:pt x="178" y="112"/>
                                </a:cubicBezTo>
                                <a:cubicBezTo>
                                  <a:pt x="188" y="112"/>
                                  <a:pt x="195" y="110"/>
                                  <a:pt x="204" y="104"/>
                                </a:cubicBezTo>
                                <a:cubicBezTo>
                                  <a:pt x="205" y="104"/>
                                  <a:pt x="205" y="104"/>
                                  <a:pt x="205" y="104"/>
                                </a:cubicBezTo>
                                <a:cubicBezTo>
                                  <a:pt x="205" y="126"/>
                                  <a:pt x="205" y="126"/>
                                  <a:pt x="205" y="126"/>
                                </a:cubicBezTo>
                                <a:cubicBezTo>
                                  <a:pt x="198" y="131"/>
                                  <a:pt x="187" y="134"/>
                                  <a:pt x="174" y="134"/>
                                </a:cubicBezTo>
                                <a:close/>
                                <a:moveTo>
                                  <a:pt x="152" y="74"/>
                                </a:moveTo>
                                <a:cubicBezTo>
                                  <a:pt x="186" y="74"/>
                                  <a:pt x="186" y="74"/>
                                  <a:pt x="186" y="74"/>
                                </a:cubicBezTo>
                                <a:cubicBezTo>
                                  <a:pt x="186" y="64"/>
                                  <a:pt x="182" y="58"/>
                                  <a:pt x="170" y="58"/>
                                </a:cubicBezTo>
                                <a:cubicBezTo>
                                  <a:pt x="162" y="58"/>
                                  <a:pt x="155" y="61"/>
                                  <a:pt x="152" y="74"/>
                                </a:cubicBezTo>
                                <a:close/>
                                <a:moveTo>
                                  <a:pt x="287" y="77"/>
                                </a:moveTo>
                                <a:cubicBezTo>
                                  <a:pt x="272" y="132"/>
                                  <a:pt x="272" y="132"/>
                                  <a:pt x="272" y="132"/>
                                </a:cubicBezTo>
                                <a:cubicBezTo>
                                  <a:pt x="247" y="132"/>
                                  <a:pt x="247" y="132"/>
                                  <a:pt x="247" y="132"/>
                                </a:cubicBezTo>
                                <a:cubicBezTo>
                                  <a:pt x="218" y="39"/>
                                  <a:pt x="218" y="39"/>
                                  <a:pt x="218" y="39"/>
                                </a:cubicBezTo>
                                <a:cubicBezTo>
                                  <a:pt x="218" y="38"/>
                                  <a:pt x="218" y="38"/>
                                  <a:pt x="218" y="38"/>
                                </a:cubicBezTo>
                                <a:cubicBezTo>
                                  <a:pt x="246" y="38"/>
                                  <a:pt x="246" y="38"/>
                                  <a:pt x="246" y="38"/>
                                </a:cubicBezTo>
                                <a:cubicBezTo>
                                  <a:pt x="261" y="93"/>
                                  <a:pt x="261" y="93"/>
                                  <a:pt x="261" y="93"/>
                                </a:cubicBezTo>
                                <a:cubicBezTo>
                                  <a:pt x="276" y="38"/>
                                  <a:pt x="276" y="38"/>
                                  <a:pt x="276" y="38"/>
                                </a:cubicBezTo>
                                <a:cubicBezTo>
                                  <a:pt x="298" y="38"/>
                                  <a:pt x="298" y="38"/>
                                  <a:pt x="298" y="38"/>
                                </a:cubicBezTo>
                                <a:cubicBezTo>
                                  <a:pt x="313" y="93"/>
                                  <a:pt x="313" y="93"/>
                                  <a:pt x="313" y="93"/>
                                </a:cubicBezTo>
                                <a:cubicBezTo>
                                  <a:pt x="329" y="38"/>
                                  <a:pt x="329" y="38"/>
                                  <a:pt x="329" y="38"/>
                                </a:cubicBezTo>
                                <a:cubicBezTo>
                                  <a:pt x="355" y="38"/>
                                  <a:pt x="355" y="38"/>
                                  <a:pt x="355" y="38"/>
                                </a:cubicBezTo>
                                <a:cubicBezTo>
                                  <a:pt x="355" y="39"/>
                                  <a:pt x="355" y="39"/>
                                  <a:pt x="355" y="39"/>
                                </a:cubicBezTo>
                                <a:cubicBezTo>
                                  <a:pt x="327" y="132"/>
                                  <a:pt x="327" y="132"/>
                                  <a:pt x="327" y="132"/>
                                </a:cubicBezTo>
                                <a:cubicBezTo>
                                  <a:pt x="302" y="132"/>
                                  <a:pt x="302" y="132"/>
                                  <a:pt x="302" y="132"/>
                                </a:cubicBezTo>
                                <a:lnTo>
                                  <a:pt x="287" y="77"/>
                                </a:lnTo>
                                <a:close/>
                                <a:moveTo>
                                  <a:pt x="402" y="134"/>
                                </a:moveTo>
                                <a:cubicBezTo>
                                  <a:pt x="379" y="134"/>
                                  <a:pt x="370" y="125"/>
                                  <a:pt x="370" y="104"/>
                                </a:cubicBezTo>
                                <a:cubicBezTo>
                                  <a:pt x="370" y="0"/>
                                  <a:pt x="370" y="0"/>
                                  <a:pt x="370" y="0"/>
                                </a:cubicBezTo>
                                <a:cubicBezTo>
                                  <a:pt x="398" y="0"/>
                                  <a:pt x="398" y="0"/>
                                  <a:pt x="398" y="0"/>
                                </a:cubicBezTo>
                                <a:cubicBezTo>
                                  <a:pt x="398" y="102"/>
                                  <a:pt x="398" y="102"/>
                                  <a:pt x="398" y="102"/>
                                </a:cubicBezTo>
                                <a:cubicBezTo>
                                  <a:pt x="398" y="108"/>
                                  <a:pt x="400" y="111"/>
                                  <a:pt x="406" y="111"/>
                                </a:cubicBezTo>
                                <a:cubicBezTo>
                                  <a:pt x="408" y="111"/>
                                  <a:pt x="410" y="110"/>
                                  <a:pt x="412" y="109"/>
                                </a:cubicBezTo>
                                <a:cubicBezTo>
                                  <a:pt x="413" y="109"/>
                                  <a:pt x="413" y="109"/>
                                  <a:pt x="413" y="109"/>
                                </a:cubicBezTo>
                                <a:cubicBezTo>
                                  <a:pt x="413" y="132"/>
                                  <a:pt x="413" y="132"/>
                                  <a:pt x="413" y="132"/>
                                </a:cubicBezTo>
                                <a:cubicBezTo>
                                  <a:pt x="410" y="133"/>
                                  <a:pt x="406" y="134"/>
                                  <a:pt x="402" y="134"/>
                                </a:cubicBezTo>
                                <a:close/>
                                <a:moveTo>
                                  <a:pt x="469" y="134"/>
                                </a:moveTo>
                                <a:cubicBezTo>
                                  <a:pt x="440" y="134"/>
                                  <a:pt x="420" y="116"/>
                                  <a:pt x="420" y="85"/>
                                </a:cubicBezTo>
                                <a:cubicBezTo>
                                  <a:pt x="420" y="56"/>
                                  <a:pt x="440" y="36"/>
                                  <a:pt x="465" y="36"/>
                                </a:cubicBezTo>
                                <a:cubicBezTo>
                                  <a:pt x="494" y="36"/>
                                  <a:pt x="507" y="55"/>
                                  <a:pt x="507" y="83"/>
                                </a:cubicBezTo>
                                <a:cubicBezTo>
                                  <a:pt x="507" y="93"/>
                                  <a:pt x="507" y="93"/>
                                  <a:pt x="507" y="93"/>
                                </a:cubicBezTo>
                                <a:cubicBezTo>
                                  <a:pt x="448" y="93"/>
                                  <a:pt x="448" y="93"/>
                                  <a:pt x="448" y="93"/>
                                </a:cubicBezTo>
                                <a:cubicBezTo>
                                  <a:pt x="451" y="108"/>
                                  <a:pt x="462" y="112"/>
                                  <a:pt x="474" y="112"/>
                                </a:cubicBezTo>
                                <a:cubicBezTo>
                                  <a:pt x="484" y="112"/>
                                  <a:pt x="491" y="110"/>
                                  <a:pt x="500" y="104"/>
                                </a:cubicBezTo>
                                <a:cubicBezTo>
                                  <a:pt x="501" y="104"/>
                                  <a:pt x="501" y="104"/>
                                  <a:pt x="501" y="104"/>
                                </a:cubicBezTo>
                                <a:cubicBezTo>
                                  <a:pt x="501" y="126"/>
                                  <a:pt x="501" y="126"/>
                                  <a:pt x="501" y="126"/>
                                </a:cubicBezTo>
                                <a:cubicBezTo>
                                  <a:pt x="493" y="131"/>
                                  <a:pt x="482" y="134"/>
                                  <a:pt x="469" y="134"/>
                                </a:cubicBezTo>
                                <a:close/>
                                <a:moveTo>
                                  <a:pt x="448" y="74"/>
                                </a:moveTo>
                                <a:cubicBezTo>
                                  <a:pt x="482" y="74"/>
                                  <a:pt x="482" y="74"/>
                                  <a:pt x="482" y="74"/>
                                </a:cubicBezTo>
                                <a:cubicBezTo>
                                  <a:pt x="481" y="64"/>
                                  <a:pt x="477" y="58"/>
                                  <a:pt x="466" y="58"/>
                                </a:cubicBezTo>
                                <a:cubicBezTo>
                                  <a:pt x="457" y="58"/>
                                  <a:pt x="450" y="61"/>
                                  <a:pt x="448" y="74"/>
                                </a:cubicBezTo>
                                <a:close/>
                                <a:moveTo>
                                  <a:pt x="622" y="38"/>
                                </a:moveTo>
                                <a:cubicBezTo>
                                  <a:pt x="642" y="38"/>
                                  <a:pt x="642" y="38"/>
                                  <a:pt x="642" y="38"/>
                                </a:cubicBezTo>
                                <a:cubicBezTo>
                                  <a:pt x="642" y="60"/>
                                  <a:pt x="642" y="60"/>
                                  <a:pt x="642" y="60"/>
                                </a:cubicBezTo>
                                <a:cubicBezTo>
                                  <a:pt x="622" y="60"/>
                                  <a:pt x="622" y="60"/>
                                  <a:pt x="622" y="60"/>
                                </a:cubicBezTo>
                                <a:cubicBezTo>
                                  <a:pt x="622" y="99"/>
                                  <a:pt x="622" y="99"/>
                                  <a:pt x="622" y="99"/>
                                </a:cubicBezTo>
                                <a:cubicBezTo>
                                  <a:pt x="622" y="107"/>
                                  <a:pt x="625" y="111"/>
                                  <a:pt x="633" y="111"/>
                                </a:cubicBezTo>
                                <a:cubicBezTo>
                                  <a:pt x="636" y="111"/>
                                  <a:pt x="639" y="110"/>
                                  <a:pt x="642" y="109"/>
                                </a:cubicBezTo>
                                <a:cubicBezTo>
                                  <a:pt x="642" y="109"/>
                                  <a:pt x="642" y="109"/>
                                  <a:pt x="642" y="109"/>
                                </a:cubicBezTo>
                                <a:cubicBezTo>
                                  <a:pt x="642" y="131"/>
                                  <a:pt x="642" y="131"/>
                                  <a:pt x="642" y="131"/>
                                </a:cubicBezTo>
                                <a:cubicBezTo>
                                  <a:pt x="639" y="132"/>
                                  <a:pt x="633" y="134"/>
                                  <a:pt x="625" y="134"/>
                                </a:cubicBezTo>
                                <a:cubicBezTo>
                                  <a:pt x="603" y="134"/>
                                  <a:pt x="594" y="124"/>
                                  <a:pt x="594" y="100"/>
                                </a:cubicBezTo>
                                <a:cubicBezTo>
                                  <a:pt x="594" y="60"/>
                                  <a:pt x="594" y="60"/>
                                  <a:pt x="594" y="60"/>
                                </a:cubicBezTo>
                                <a:cubicBezTo>
                                  <a:pt x="558" y="60"/>
                                  <a:pt x="558" y="60"/>
                                  <a:pt x="558" y="60"/>
                                </a:cubicBezTo>
                                <a:cubicBezTo>
                                  <a:pt x="558" y="99"/>
                                  <a:pt x="558" y="99"/>
                                  <a:pt x="558" y="99"/>
                                </a:cubicBezTo>
                                <a:cubicBezTo>
                                  <a:pt x="558" y="107"/>
                                  <a:pt x="561" y="111"/>
                                  <a:pt x="570" y="111"/>
                                </a:cubicBezTo>
                                <a:cubicBezTo>
                                  <a:pt x="572" y="111"/>
                                  <a:pt x="575" y="110"/>
                                  <a:pt x="578" y="109"/>
                                </a:cubicBezTo>
                                <a:cubicBezTo>
                                  <a:pt x="579" y="109"/>
                                  <a:pt x="579" y="109"/>
                                  <a:pt x="579" y="109"/>
                                </a:cubicBezTo>
                                <a:cubicBezTo>
                                  <a:pt x="579" y="131"/>
                                  <a:pt x="579" y="131"/>
                                  <a:pt x="579" y="131"/>
                                </a:cubicBezTo>
                                <a:cubicBezTo>
                                  <a:pt x="575" y="132"/>
                                  <a:pt x="570" y="134"/>
                                  <a:pt x="562" y="134"/>
                                </a:cubicBezTo>
                                <a:cubicBezTo>
                                  <a:pt x="539" y="134"/>
                                  <a:pt x="530" y="124"/>
                                  <a:pt x="530" y="100"/>
                                </a:cubicBezTo>
                                <a:cubicBezTo>
                                  <a:pt x="530" y="60"/>
                                  <a:pt x="530" y="60"/>
                                  <a:pt x="530" y="60"/>
                                </a:cubicBezTo>
                                <a:cubicBezTo>
                                  <a:pt x="516" y="60"/>
                                  <a:pt x="516" y="60"/>
                                  <a:pt x="516" y="60"/>
                                </a:cubicBezTo>
                                <a:cubicBezTo>
                                  <a:pt x="516" y="38"/>
                                  <a:pt x="516" y="38"/>
                                  <a:pt x="516" y="38"/>
                                </a:cubicBezTo>
                                <a:cubicBezTo>
                                  <a:pt x="530" y="38"/>
                                  <a:pt x="530" y="38"/>
                                  <a:pt x="530" y="38"/>
                                </a:cubicBezTo>
                                <a:cubicBezTo>
                                  <a:pt x="530" y="12"/>
                                  <a:pt x="530" y="12"/>
                                  <a:pt x="530" y="12"/>
                                </a:cubicBezTo>
                                <a:cubicBezTo>
                                  <a:pt x="558" y="12"/>
                                  <a:pt x="558" y="12"/>
                                  <a:pt x="558" y="12"/>
                                </a:cubicBezTo>
                                <a:cubicBezTo>
                                  <a:pt x="558" y="38"/>
                                  <a:pt x="558" y="38"/>
                                  <a:pt x="558" y="38"/>
                                </a:cubicBezTo>
                                <a:cubicBezTo>
                                  <a:pt x="594" y="38"/>
                                  <a:pt x="594" y="38"/>
                                  <a:pt x="594" y="38"/>
                                </a:cubicBezTo>
                                <a:cubicBezTo>
                                  <a:pt x="594" y="12"/>
                                  <a:pt x="594" y="12"/>
                                  <a:pt x="594" y="12"/>
                                </a:cubicBezTo>
                                <a:cubicBezTo>
                                  <a:pt x="622" y="12"/>
                                  <a:pt x="622" y="12"/>
                                  <a:pt x="622" y="12"/>
                                </a:cubicBezTo>
                                <a:cubicBezTo>
                                  <a:pt x="622" y="38"/>
                                  <a:pt x="622" y="38"/>
                                  <a:pt x="622" y="38"/>
                                </a:cubicBezTo>
                                <a:close/>
                                <a:moveTo>
                                  <a:pt x="787" y="45"/>
                                </a:moveTo>
                                <a:cubicBezTo>
                                  <a:pt x="787" y="73"/>
                                  <a:pt x="768" y="89"/>
                                  <a:pt x="738" y="89"/>
                                </a:cubicBezTo>
                                <a:cubicBezTo>
                                  <a:pt x="718" y="89"/>
                                  <a:pt x="718" y="89"/>
                                  <a:pt x="718" y="89"/>
                                </a:cubicBezTo>
                                <a:cubicBezTo>
                                  <a:pt x="718" y="132"/>
                                  <a:pt x="718" y="132"/>
                                  <a:pt x="718" y="132"/>
                                </a:cubicBezTo>
                                <a:cubicBezTo>
                                  <a:pt x="689" y="132"/>
                                  <a:pt x="689" y="132"/>
                                  <a:pt x="689" y="132"/>
                                </a:cubicBezTo>
                                <a:cubicBezTo>
                                  <a:pt x="689" y="0"/>
                                  <a:pt x="689" y="0"/>
                                  <a:pt x="689" y="0"/>
                                </a:cubicBezTo>
                                <a:cubicBezTo>
                                  <a:pt x="738" y="0"/>
                                  <a:pt x="738" y="0"/>
                                  <a:pt x="738" y="0"/>
                                </a:cubicBezTo>
                                <a:cubicBezTo>
                                  <a:pt x="768" y="0"/>
                                  <a:pt x="787" y="16"/>
                                  <a:pt x="787" y="45"/>
                                </a:cubicBezTo>
                                <a:close/>
                                <a:moveTo>
                                  <a:pt x="736" y="65"/>
                                </a:moveTo>
                                <a:cubicBezTo>
                                  <a:pt x="751" y="65"/>
                                  <a:pt x="758" y="57"/>
                                  <a:pt x="758" y="45"/>
                                </a:cubicBezTo>
                                <a:cubicBezTo>
                                  <a:pt x="758" y="33"/>
                                  <a:pt x="751" y="24"/>
                                  <a:pt x="736" y="24"/>
                                </a:cubicBezTo>
                                <a:cubicBezTo>
                                  <a:pt x="718" y="24"/>
                                  <a:pt x="718" y="24"/>
                                  <a:pt x="718" y="24"/>
                                </a:cubicBezTo>
                                <a:cubicBezTo>
                                  <a:pt x="718" y="65"/>
                                  <a:pt x="718" y="65"/>
                                  <a:pt x="718" y="65"/>
                                </a:cubicBezTo>
                                <a:lnTo>
                                  <a:pt x="736" y="65"/>
                                </a:lnTo>
                                <a:close/>
                                <a:moveTo>
                                  <a:pt x="849" y="123"/>
                                </a:moveTo>
                                <a:cubicBezTo>
                                  <a:pt x="843" y="130"/>
                                  <a:pt x="834" y="134"/>
                                  <a:pt x="824" y="134"/>
                                </a:cubicBezTo>
                                <a:cubicBezTo>
                                  <a:pt x="806" y="134"/>
                                  <a:pt x="791" y="122"/>
                                  <a:pt x="791" y="103"/>
                                </a:cubicBezTo>
                                <a:cubicBezTo>
                                  <a:pt x="791" y="84"/>
                                  <a:pt x="806" y="72"/>
                                  <a:pt x="827" y="72"/>
                                </a:cubicBezTo>
                                <a:cubicBezTo>
                                  <a:pt x="834" y="72"/>
                                  <a:pt x="841" y="73"/>
                                  <a:pt x="848" y="75"/>
                                </a:cubicBezTo>
                                <a:cubicBezTo>
                                  <a:pt x="848" y="73"/>
                                  <a:pt x="848" y="73"/>
                                  <a:pt x="848" y="73"/>
                                </a:cubicBezTo>
                                <a:cubicBezTo>
                                  <a:pt x="848" y="63"/>
                                  <a:pt x="842" y="59"/>
                                  <a:pt x="827" y="59"/>
                                </a:cubicBezTo>
                                <a:cubicBezTo>
                                  <a:pt x="818" y="59"/>
                                  <a:pt x="809" y="62"/>
                                  <a:pt x="801" y="66"/>
                                </a:cubicBezTo>
                                <a:cubicBezTo>
                                  <a:pt x="800" y="66"/>
                                  <a:pt x="800" y="66"/>
                                  <a:pt x="800" y="66"/>
                                </a:cubicBezTo>
                                <a:cubicBezTo>
                                  <a:pt x="800" y="44"/>
                                  <a:pt x="800" y="44"/>
                                  <a:pt x="800" y="44"/>
                                </a:cubicBezTo>
                                <a:cubicBezTo>
                                  <a:pt x="807" y="40"/>
                                  <a:pt x="820" y="36"/>
                                  <a:pt x="832" y="36"/>
                                </a:cubicBezTo>
                                <a:cubicBezTo>
                                  <a:pt x="860" y="36"/>
                                  <a:pt x="876" y="49"/>
                                  <a:pt x="876" y="73"/>
                                </a:cubicBezTo>
                                <a:cubicBezTo>
                                  <a:pt x="876" y="132"/>
                                  <a:pt x="876" y="132"/>
                                  <a:pt x="876" y="132"/>
                                </a:cubicBezTo>
                                <a:cubicBezTo>
                                  <a:pt x="849" y="132"/>
                                  <a:pt x="849" y="132"/>
                                  <a:pt x="849" y="132"/>
                                </a:cubicBezTo>
                                <a:cubicBezTo>
                                  <a:pt x="849" y="123"/>
                                  <a:pt x="849" y="123"/>
                                  <a:pt x="849" y="123"/>
                                </a:cubicBezTo>
                                <a:close/>
                                <a:moveTo>
                                  <a:pt x="848" y="102"/>
                                </a:moveTo>
                                <a:cubicBezTo>
                                  <a:pt x="848" y="94"/>
                                  <a:pt x="848" y="94"/>
                                  <a:pt x="848" y="94"/>
                                </a:cubicBezTo>
                                <a:cubicBezTo>
                                  <a:pt x="844" y="92"/>
                                  <a:pt x="838" y="91"/>
                                  <a:pt x="833" y="91"/>
                                </a:cubicBezTo>
                                <a:cubicBezTo>
                                  <a:pt x="823" y="91"/>
                                  <a:pt x="818" y="95"/>
                                  <a:pt x="818" y="102"/>
                                </a:cubicBezTo>
                                <a:cubicBezTo>
                                  <a:pt x="818" y="110"/>
                                  <a:pt x="823" y="113"/>
                                  <a:pt x="832" y="113"/>
                                </a:cubicBezTo>
                                <a:cubicBezTo>
                                  <a:pt x="839" y="113"/>
                                  <a:pt x="845" y="109"/>
                                  <a:pt x="848" y="102"/>
                                </a:cubicBezTo>
                                <a:close/>
                                <a:moveTo>
                                  <a:pt x="890" y="85"/>
                                </a:moveTo>
                                <a:cubicBezTo>
                                  <a:pt x="890" y="55"/>
                                  <a:pt x="911" y="36"/>
                                  <a:pt x="939" y="36"/>
                                </a:cubicBezTo>
                                <a:cubicBezTo>
                                  <a:pt x="949" y="36"/>
                                  <a:pt x="958" y="38"/>
                                  <a:pt x="965" y="43"/>
                                </a:cubicBezTo>
                                <a:cubicBezTo>
                                  <a:pt x="965" y="67"/>
                                  <a:pt x="965" y="67"/>
                                  <a:pt x="965" y="67"/>
                                </a:cubicBezTo>
                                <a:cubicBezTo>
                                  <a:pt x="964" y="67"/>
                                  <a:pt x="964" y="67"/>
                                  <a:pt x="964" y="67"/>
                                </a:cubicBezTo>
                                <a:cubicBezTo>
                                  <a:pt x="958" y="62"/>
                                  <a:pt x="951" y="60"/>
                                  <a:pt x="943" y="60"/>
                                </a:cubicBezTo>
                                <a:cubicBezTo>
                                  <a:pt x="929" y="60"/>
                                  <a:pt x="918" y="69"/>
                                  <a:pt x="918" y="85"/>
                                </a:cubicBezTo>
                                <a:cubicBezTo>
                                  <a:pt x="918" y="101"/>
                                  <a:pt x="929" y="110"/>
                                  <a:pt x="943" y="110"/>
                                </a:cubicBezTo>
                                <a:cubicBezTo>
                                  <a:pt x="951" y="110"/>
                                  <a:pt x="958" y="108"/>
                                  <a:pt x="964" y="103"/>
                                </a:cubicBezTo>
                                <a:cubicBezTo>
                                  <a:pt x="965" y="103"/>
                                  <a:pt x="965" y="103"/>
                                  <a:pt x="965" y="103"/>
                                </a:cubicBezTo>
                                <a:cubicBezTo>
                                  <a:pt x="965" y="127"/>
                                  <a:pt x="965" y="127"/>
                                  <a:pt x="965" y="127"/>
                                </a:cubicBezTo>
                                <a:cubicBezTo>
                                  <a:pt x="958" y="132"/>
                                  <a:pt x="949" y="134"/>
                                  <a:pt x="939" y="134"/>
                                </a:cubicBezTo>
                                <a:cubicBezTo>
                                  <a:pt x="911" y="134"/>
                                  <a:pt x="890" y="115"/>
                                  <a:pt x="890" y="85"/>
                                </a:cubicBezTo>
                                <a:close/>
                                <a:moveTo>
                                  <a:pt x="1010" y="89"/>
                                </a:moveTo>
                                <a:cubicBezTo>
                                  <a:pt x="1010" y="132"/>
                                  <a:pt x="1010" y="132"/>
                                  <a:pt x="1010" y="132"/>
                                </a:cubicBezTo>
                                <a:cubicBezTo>
                                  <a:pt x="983" y="132"/>
                                  <a:pt x="983" y="132"/>
                                  <a:pt x="983" y="132"/>
                                </a:cubicBezTo>
                                <a:cubicBezTo>
                                  <a:pt x="983" y="0"/>
                                  <a:pt x="983" y="0"/>
                                  <a:pt x="983" y="0"/>
                                </a:cubicBezTo>
                                <a:cubicBezTo>
                                  <a:pt x="1010" y="0"/>
                                  <a:pt x="1010" y="0"/>
                                  <a:pt x="1010" y="0"/>
                                </a:cubicBezTo>
                                <a:cubicBezTo>
                                  <a:pt x="1010" y="75"/>
                                  <a:pt x="1010" y="75"/>
                                  <a:pt x="1010" y="75"/>
                                </a:cubicBezTo>
                                <a:cubicBezTo>
                                  <a:pt x="1039" y="38"/>
                                  <a:pt x="1039" y="38"/>
                                  <a:pt x="1039" y="38"/>
                                </a:cubicBezTo>
                                <a:cubicBezTo>
                                  <a:pt x="1070" y="38"/>
                                  <a:pt x="1070" y="38"/>
                                  <a:pt x="1070" y="38"/>
                                </a:cubicBezTo>
                                <a:cubicBezTo>
                                  <a:pt x="1070" y="39"/>
                                  <a:pt x="1070" y="39"/>
                                  <a:pt x="1070" y="39"/>
                                </a:cubicBezTo>
                                <a:cubicBezTo>
                                  <a:pt x="1036" y="82"/>
                                  <a:pt x="1036" y="82"/>
                                  <a:pt x="1036" y="82"/>
                                </a:cubicBezTo>
                                <a:cubicBezTo>
                                  <a:pt x="1070" y="131"/>
                                  <a:pt x="1070" y="131"/>
                                  <a:pt x="1070" y="131"/>
                                </a:cubicBezTo>
                                <a:cubicBezTo>
                                  <a:pt x="1070" y="132"/>
                                  <a:pt x="1070" y="132"/>
                                  <a:pt x="1070" y="132"/>
                                </a:cubicBezTo>
                                <a:cubicBezTo>
                                  <a:pt x="1038" y="132"/>
                                  <a:pt x="1038" y="132"/>
                                  <a:pt x="1038" y="132"/>
                                </a:cubicBezTo>
                                <a:lnTo>
                                  <a:pt x="1010" y="89"/>
                                </a:lnTo>
                                <a:close/>
                                <a:moveTo>
                                  <a:pt x="1133" y="123"/>
                                </a:moveTo>
                                <a:cubicBezTo>
                                  <a:pt x="1127" y="130"/>
                                  <a:pt x="1118" y="134"/>
                                  <a:pt x="1108" y="134"/>
                                </a:cubicBezTo>
                                <a:cubicBezTo>
                                  <a:pt x="1090" y="134"/>
                                  <a:pt x="1075" y="122"/>
                                  <a:pt x="1075" y="103"/>
                                </a:cubicBezTo>
                                <a:cubicBezTo>
                                  <a:pt x="1075" y="84"/>
                                  <a:pt x="1090" y="72"/>
                                  <a:pt x="1112" y="72"/>
                                </a:cubicBezTo>
                                <a:cubicBezTo>
                                  <a:pt x="1118" y="72"/>
                                  <a:pt x="1125" y="73"/>
                                  <a:pt x="1133" y="75"/>
                                </a:cubicBezTo>
                                <a:cubicBezTo>
                                  <a:pt x="1133" y="73"/>
                                  <a:pt x="1133" y="73"/>
                                  <a:pt x="1133" y="73"/>
                                </a:cubicBezTo>
                                <a:cubicBezTo>
                                  <a:pt x="1133" y="63"/>
                                  <a:pt x="1127" y="59"/>
                                  <a:pt x="1112" y="59"/>
                                </a:cubicBezTo>
                                <a:cubicBezTo>
                                  <a:pt x="1102" y="59"/>
                                  <a:pt x="1093" y="62"/>
                                  <a:pt x="1086" y="66"/>
                                </a:cubicBezTo>
                                <a:cubicBezTo>
                                  <a:pt x="1084" y="66"/>
                                  <a:pt x="1084" y="66"/>
                                  <a:pt x="1084" y="66"/>
                                </a:cubicBezTo>
                                <a:cubicBezTo>
                                  <a:pt x="1084" y="44"/>
                                  <a:pt x="1084" y="44"/>
                                  <a:pt x="1084" y="44"/>
                                </a:cubicBezTo>
                                <a:cubicBezTo>
                                  <a:pt x="1092" y="40"/>
                                  <a:pt x="1104" y="36"/>
                                  <a:pt x="1117" y="36"/>
                                </a:cubicBezTo>
                                <a:cubicBezTo>
                                  <a:pt x="1145" y="36"/>
                                  <a:pt x="1160" y="49"/>
                                  <a:pt x="1160" y="73"/>
                                </a:cubicBezTo>
                                <a:cubicBezTo>
                                  <a:pt x="1160" y="132"/>
                                  <a:pt x="1160" y="132"/>
                                  <a:pt x="1160" y="132"/>
                                </a:cubicBezTo>
                                <a:cubicBezTo>
                                  <a:pt x="1133" y="132"/>
                                  <a:pt x="1133" y="132"/>
                                  <a:pt x="1133" y="132"/>
                                </a:cubicBezTo>
                                <a:cubicBezTo>
                                  <a:pt x="1133" y="123"/>
                                  <a:pt x="1133" y="123"/>
                                  <a:pt x="1133" y="123"/>
                                </a:cubicBezTo>
                                <a:close/>
                                <a:moveTo>
                                  <a:pt x="1133" y="102"/>
                                </a:moveTo>
                                <a:cubicBezTo>
                                  <a:pt x="1133" y="94"/>
                                  <a:pt x="1133" y="94"/>
                                  <a:pt x="1133" y="94"/>
                                </a:cubicBezTo>
                                <a:cubicBezTo>
                                  <a:pt x="1128" y="92"/>
                                  <a:pt x="1123" y="91"/>
                                  <a:pt x="1117" y="91"/>
                                </a:cubicBezTo>
                                <a:cubicBezTo>
                                  <a:pt x="1108" y="91"/>
                                  <a:pt x="1103" y="95"/>
                                  <a:pt x="1103" y="102"/>
                                </a:cubicBezTo>
                                <a:cubicBezTo>
                                  <a:pt x="1103" y="110"/>
                                  <a:pt x="1108" y="113"/>
                                  <a:pt x="1116" y="113"/>
                                </a:cubicBezTo>
                                <a:cubicBezTo>
                                  <a:pt x="1124" y="113"/>
                                  <a:pt x="1130" y="109"/>
                                  <a:pt x="1133" y="102"/>
                                </a:cubicBezTo>
                                <a:close/>
                                <a:moveTo>
                                  <a:pt x="1207" y="53"/>
                                </a:moveTo>
                                <a:cubicBezTo>
                                  <a:pt x="1212" y="43"/>
                                  <a:pt x="1220" y="37"/>
                                  <a:pt x="1230" y="37"/>
                                </a:cubicBezTo>
                                <a:cubicBezTo>
                                  <a:pt x="1234" y="37"/>
                                  <a:pt x="1238" y="38"/>
                                  <a:pt x="1239" y="39"/>
                                </a:cubicBezTo>
                                <a:cubicBezTo>
                                  <a:pt x="1239" y="65"/>
                                  <a:pt x="1239" y="65"/>
                                  <a:pt x="1239" y="65"/>
                                </a:cubicBezTo>
                                <a:cubicBezTo>
                                  <a:pt x="1238" y="65"/>
                                  <a:pt x="1238" y="65"/>
                                  <a:pt x="1238" y="65"/>
                                </a:cubicBezTo>
                                <a:cubicBezTo>
                                  <a:pt x="1235" y="64"/>
                                  <a:pt x="1231" y="63"/>
                                  <a:pt x="1226" y="63"/>
                                </a:cubicBezTo>
                                <a:cubicBezTo>
                                  <a:pt x="1217" y="63"/>
                                  <a:pt x="1210" y="68"/>
                                  <a:pt x="1208" y="78"/>
                                </a:cubicBezTo>
                                <a:cubicBezTo>
                                  <a:pt x="1208" y="132"/>
                                  <a:pt x="1208" y="132"/>
                                  <a:pt x="1208" y="132"/>
                                </a:cubicBezTo>
                                <a:cubicBezTo>
                                  <a:pt x="1180" y="132"/>
                                  <a:pt x="1180" y="132"/>
                                  <a:pt x="1180" y="132"/>
                                </a:cubicBezTo>
                                <a:cubicBezTo>
                                  <a:pt x="1180" y="38"/>
                                  <a:pt x="1180" y="38"/>
                                  <a:pt x="1180" y="38"/>
                                </a:cubicBezTo>
                                <a:cubicBezTo>
                                  <a:pt x="1207" y="38"/>
                                  <a:pt x="1207" y="38"/>
                                  <a:pt x="1207" y="38"/>
                                </a:cubicBezTo>
                                <a:cubicBezTo>
                                  <a:pt x="1207" y="53"/>
                                  <a:pt x="1207" y="53"/>
                                  <a:pt x="1207" y="53"/>
                                </a:cubicBezTo>
                                <a:close/>
                                <a:moveTo>
                                  <a:pt x="1314" y="122"/>
                                </a:moveTo>
                                <a:cubicBezTo>
                                  <a:pt x="1308" y="130"/>
                                  <a:pt x="1298" y="134"/>
                                  <a:pt x="1286" y="134"/>
                                </a:cubicBezTo>
                                <a:cubicBezTo>
                                  <a:pt x="1262" y="134"/>
                                  <a:pt x="1246" y="112"/>
                                  <a:pt x="1246" y="85"/>
                                </a:cubicBezTo>
                                <a:cubicBezTo>
                                  <a:pt x="1246" y="58"/>
                                  <a:pt x="1262" y="36"/>
                                  <a:pt x="1286" y="36"/>
                                </a:cubicBezTo>
                                <a:cubicBezTo>
                                  <a:pt x="1298" y="36"/>
                                  <a:pt x="1307" y="40"/>
                                  <a:pt x="1313" y="47"/>
                                </a:cubicBezTo>
                                <a:cubicBezTo>
                                  <a:pt x="1313" y="0"/>
                                  <a:pt x="1313" y="0"/>
                                  <a:pt x="1313" y="0"/>
                                </a:cubicBezTo>
                                <a:cubicBezTo>
                                  <a:pt x="1341" y="0"/>
                                  <a:pt x="1341" y="0"/>
                                  <a:pt x="1341" y="0"/>
                                </a:cubicBezTo>
                                <a:cubicBezTo>
                                  <a:pt x="1341" y="132"/>
                                  <a:pt x="1341" y="132"/>
                                  <a:pt x="1341" y="132"/>
                                </a:cubicBezTo>
                                <a:cubicBezTo>
                                  <a:pt x="1314" y="132"/>
                                  <a:pt x="1314" y="132"/>
                                  <a:pt x="1314" y="132"/>
                                </a:cubicBezTo>
                                <a:cubicBezTo>
                                  <a:pt x="1314" y="122"/>
                                  <a:pt x="1314" y="122"/>
                                  <a:pt x="1314" y="122"/>
                                </a:cubicBezTo>
                                <a:close/>
                                <a:moveTo>
                                  <a:pt x="1313" y="100"/>
                                </a:moveTo>
                                <a:cubicBezTo>
                                  <a:pt x="1313" y="70"/>
                                  <a:pt x="1313" y="70"/>
                                  <a:pt x="1313" y="70"/>
                                </a:cubicBezTo>
                                <a:cubicBezTo>
                                  <a:pt x="1308" y="63"/>
                                  <a:pt x="1302" y="60"/>
                                  <a:pt x="1295" y="60"/>
                                </a:cubicBezTo>
                                <a:cubicBezTo>
                                  <a:pt x="1283" y="60"/>
                                  <a:pt x="1275" y="69"/>
                                  <a:pt x="1275" y="85"/>
                                </a:cubicBezTo>
                                <a:cubicBezTo>
                                  <a:pt x="1275" y="101"/>
                                  <a:pt x="1283" y="110"/>
                                  <a:pt x="1295" y="110"/>
                                </a:cubicBezTo>
                                <a:cubicBezTo>
                                  <a:pt x="1302" y="110"/>
                                  <a:pt x="1308" y="107"/>
                                  <a:pt x="1313" y="100"/>
                                </a:cubicBezTo>
                                <a:close/>
                                <a:moveTo>
                                  <a:pt x="0" y="175"/>
                                </a:moveTo>
                                <a:cubicBezTo>
                                  <a:pt x="81" y="175"/>
                                  <a:pt x="81" y="175"/>
                                  <a:pt x="81" y="175"/>
                                </a:cubicBezTo>
                                <a:cubicBezTo>
                                  <a:pt x="81" y="191"/>
                                  <a:pt x="81" y="191"/>
                                  <a:pt x="81" y="191"/>
                                </a:cubicBezTo>
                                <a:cubicBezTo>
                                  <a:pt x="18" y="191"/>
                                  <a:pt x="18" y="191"/>
                                  <a:pt x="18" y="191"/>
                                </a:cubicBezTo>
                                <a:cubicBezTo>
                                  <a:pt x="18" y="231"/>
                                  <a:pt x="18" y="231"/>
                                  <a:pt x="18" y="231"/>
                                </a:cubicBezTo>
                                <a:cubicBezTo>
                                  <a:pt x="75" y="231"/>
                                  <a:pt x="75" y="231"/>
                                  <a:pt x="75" y="231"/>
                                </a:cubicBezTo>
                                <a:cubicBezTo>
                                  <a:pt x="75" y="247"/>
                                  <a:pt x="75" y="247"/>
                                  <a:pt x="75" y="247"/>
                                </a:cubicBezTo>
                                <a:cubicBezTo>
                                  <a:pt x="18" y="247"/>
                                  <a:pt x="18" y="247"/>
                                  <a:pt x="18" y="247"/>
                                </a:cubicBezTo>
                                <a:cubicBezTo>
                                  <a:pt x="18" y="291"/>
                                  <a:pt x="18" y="291"/>
                                  <a:pt x="18" y="291"/>
                                </a:cubicBezTo>
                                <a:cubicBezTo>
                                  <a:pt x="81" y="291"/>
                                  <a:pt x="81" y="291"/>
                                  <a:pt x="81" y="291"/>
                                </a:cubicBezTo>
                                <a:cubicBezTo>
                                  <a:pt x="81" y="307"/>
                                  <a:pt x="81" y="307"/>
                                  <a:pt x="81" y="307"/>
                                </a:cubicBezTo>
                                <a:cubicBezTo>
                                  <a:pt x="0" y="307"/>
                                  <a:pt x="0" y="307"/>
                                  <a:pt x="0" y="307"/>
                                </a:cubicBezTo>
                                <a:lnTo>
                                  <a:pt x="0" y="175"/>
                                </a:lnTo>
                                <a:close/>
                                <a:moveTo>
                                  <a:pt x="149" y="212"/>
                                </a:moveTo>
                                <a:cubicBezTo>
                                  <a:pt x="169" y="212"/>
                                  <a:pt x="181" y="226"/>
                                  <a:pt x="181" y="248"/>
                                </a:cubicBezTo>
                                <a:cubicBezTo>
                                  <a:pt x="181" y="307"/>
                                  <a:pt x="181" y="307"/>
                                  <a:pt x="181" y="307"/>
                                </a:cubicBezTo>
                                <a:cubicBezTo>
                                  <a:pt x="164" y="307"/>
                                  <a:pt x="164" y="307"/>
                                  <a:pt x="164" y="307"/>
                                </a:cubicBezTo>
                                <a:cubicBezTo>
                                  <a:pt x="164" y="249"/>
                                  <a:pt x="164" y="249"/>
                                  <a:pt x="164" y="249"/>
                                </a:cubicBezTo>
                                <a:cubicBezTo>
                                  <a:pt x="164" y="237"/>
                                  <a:pt x="157" y="228"/>
                                  <a:pt x="144" y="228"/>
                                </a:cubicBezTo>
                                <a:cubicBezTo>
                                  <a:pt x="133" y="228"/>
                                  <a:pt x="124" y="235"/>
                                  <a:pt x="121" y="245"/>
                                </a:cubicBezTo>
                                <a:cubicBezTo>
                                  <a:pt x="121" y="307"/>
                                  <a:pt x="121" y="307"/>
                                  <a:pt x="121" y="307"/>
                                </a:cubicBezTo>
                                <a:cubicBezTo>
                                  <a:pt x="103" y="307"/>
                                  <a:pt x="103" y="307"/>
                                  <a:pt x="103" y="307"/>
                                </a:cubicBezTo>
                                <a:cubicBezTo>
                                  <a:pt x="103" y="214"/>
                                  <a:pt x="103" y="214"/>
                                  <a:pt x="103" y="214"/>
                                </a:cubicBezTo>
                                <a:cubicBezTo>
                                  <a:pt x="121" y="214"/>
                                  <a:pt x="121" y="214"/>
                                  <a:pt x="121" y="214"/>
                                </a:cubicBezTo>
                                <a:cubicBezTo>
                                  <a:pt x="121" y="227"/>
                                  <a:pt x="121" y="227"/>
                                  <a:pt x="121" y="227"/>
                                </a:cubicBezTo>
                                <a:cubicBezTo>
                                  <a:pt x="126" y="219"/>
                                  <a:pt x="136" y="212"/>
                                  <a:pt x="149" y="212"/>
                                </a:cubicBezTo>
                                <a:close/>
                                <a:moveTo>
                                  <a:pt x="228" y="214"/>
                                </a:moveTo>
                                <a:cubicBezTo>
                                  <a:pt x="252" y="214"/>
                                  <a:pt x="252" y="214"/>
                                  <a:pt x="252" y="214"/>
                                </a:cubicBezTo>
                                <a:cubicBezTo>
                                  <a:pt x="252" y="229"/>
                                  <a:pt x="252" y="229"/>
                                  <a:pt x="252" y="229"/>
                                </a:cubicBezTo>
                                <a:cubicBezTo>
                                  <a:pt x="228" y="229"/>
                                  <a:pt x="228" y="229"/>
                                  <a:pt x="228" y="229"/>
                                </a:cubicBezTo>
                                <a:cubicBezTo>
                                  <a:pt x="228" y="279"/>
                                  <a:pt x="228" y="279"/>
                                  <a:pt x="228" y="279"/>
                                </a:cubicBezTo>
                                <a:cubicBezTo>
                                  <a:pt x="228" y="289"/>
                                  <a:pt x="234" y="293"/>
                                  <a:pt x="243" y="293"/>
                                </a:cubicBezTo>
                                <a:cubicBezTo>
                                  <a:pt x="246" y="293"/>
                                  <a:pt x="249" y="293"/>
                                  <a:pt x="251" y="292"/>
                                </a:cubicBezTo>
                                <a:cubicBezTo>
                                  <a:pt x="252" y="292"/>
                                  <a:pt x="252" y="292"/>
                                  <a:pt x="252" y="292"/>
                                </a:cubicBezTo>
                                <a:cubicBezTo>
                                  <a:pt x="252" y="307"/>
                                  <a:pt x="252" y="307"/>
                                  <a:pt x="252" y="307"/>
                                </a:cubicBezTo>
                                <a:cubicBezTo>
                                  <a:pt x="249" y="308"/>
                                  <a:pt x="246" y="309"/>
                                  <a:pt x="241" y="309"/>
                                </a:cubicBezTo>
                                <a:cubicBezTo>
                                  <a:pt x="219" y="309"/>
                                  <a:pt x="211" y="299"/>
                                  <a:pt x="211" y="281"/>
                                </a:cubicBezTo>
                                <a:cubicBezTo>
                                  <a:pt x="211" y="229"/>
                                  <a:pt x="211" y="229"/>
                                  <a:pt x="211" y="229"/>
                                </a:cubicBezTo>
                                <a:cubicBezTo>
                                  <a:pt x="195" y="229"/>
                                  <a:pt x="195" y="229"/>
                                  <a:pt x="195" y="229"/>
                                </a:cubicBezTo>
                                <a:cubicBezTo>
                                  <a:pt x="195" y="214"/>
                                  <a:pt x="195" y="214"/>
                                  <a:pt x="195" y="214"/>
                                </a:cubicBezTo>
                                <a:cubicBezTo>
                                  <a:pt x="211" y="214"/>
                                  <a:pt x="211" y="214"/>
                                  <a:pt x="211" y="214"/>
                                </a:cubicBezTo>
                                <a:cubicBezTo>
                                  <a:pt x="211" y="189"/>
                                  <a:pt x="211" y="189"/>
                                  <a:pt x="211" y="189"/>
                                </a:cubicBezTo>
                                <a:cubicBezTo>
                                  <a:pt x="228" y="189"/>
                                  <a:pt x="228" y="189"/>
                                  <a:pt x="228" y="189"/>
                                </a:cubicBezTo>
                                <a:lnTo>
                                  <a:pt x="228" y="214"/>
                                </a:lnTo>
                                <a:close/>
                                <a:moveTo>
                                  <a:pt x="309" y="309"/>
                                </a:moveTo>
                                <a:cubicBezTo>
                                  <a:pt x="282" y="309"/>
                                  <a:pt x="263" y="290"/>
                                  <a:pt x="263" y="261"/>
                                </a:cubicBezTo>
                                <a:cubicBezTo>
                                  <a:pt x="263" y="232"/>
                                  <a:pt x="280" y="212"/>
                                  <a:pt x="305" y="212"/>
                                </a:cubicBezTo>
                                <a:cubicBezTo>
                                  <a:pt x="331" y="212"/>
                                  <a:pt x="344" y="230"/>
                                  <a:pt x="344" y="258"/>
                                </a:cubicBezTo>
                                <a:cubicBezTo>
                                  <a:pt x="344" y="266"/>
                                  <a:pt x="344" y="266"/>
                                  <a:pt x="344" y="266"/>
                                </a:cubicBezTo>
                                <a:cubicBezTo>
                                  <a:pt x="281" y="266"/>
                                  <a:pt x="281" y="266"/>
                                  <a:pt x="281" y="266"/>
                                </a:cubicBezTo>
                                <a:cubicBezTo>
                                  <a:pt x="282" y="284"/>
                                  <a:pt x="295" y="293"/>
                                  <a:pt x="311" y="293"/>
                                </a:cubicBezTo>
                                <a:cubicBezTo>
                                  <a:pt x="321" y="293"/>
                                  <a:pt x="329" y="291"/>
                                  <a:pt x="337" y="285"/>
                                </a:cubicBezTo>
                                <a:cubicBezTo>
                                  <a:pt x="338" y="285"/>
                                  <a:pt x="338" y="285"/>
                                  <a:pt x="338" y="285"/>
                                </a:cubicBezTo>
                                <a:cubicBezTo>
                                  <a:pt x="338" y="300"/>
                                  <a:pt x="338" y="300"/>
                                  <a:pt x="338" y="300"/>
                                </a:cubicBezTo>
                                <a:cubicBezTo>
                                  <a:pt x="330" y="306"/>
                                  <a:pt x="320" y="309"/>
                                  <a:pt x="309" y="309"/>
                                </a:cubicBezTo>
                                <a:close/>
                                <a:moveTo>
                                  <a:pt x="281" y="251"/>
                                </a:moveTo>
                                <a:cubicBezTo>
                                  <a:pt x="327" y="251"/>
                                  <a:pt x="327" y="251"/>
                                  <a:pt x="327" y="251"/>
                                </a:cubicBezTo>
                                <a:cubicBezTo>
                                  <a:pt x="327" y="237"/>
                                  <a:pt x="320" y="227"/>
                                  <a:pt x="306" y="227"/>
                                </a:cubicBezTo>
                                <a:cubicBezTo>
                                  <a:pt x="292" y="227"/>
                                  <a:pt x="284" y="237"/>
                                  <a:pt x="281" y="251"/>
                                </a:cubicBezTo>
                                <a:close/>
                                <a:moveTo>
                                  <a:pt x="382" y="228"/>
                                </a:moveTo>
                                <a:cubicBezTo>
                                  <a:pt x="386" y="218"/>
                                  <a:pt x="395" y="212"/>
                                  <a:pt x="405" y="212"/>
                                </a:cubicBezTo>
                                <a:cubicBezTo>
                                  <a:pt x="409" y="212"/>
                                  <a:pt x="413" y="213"/>
                                  <a:pt x="414" y="214"/>
                                </a:cubicBezTo>
                                <a:cubicBezTo>
                                  <a:pt x="414" y="231"/>
                                  <a:pt x="414" y="231"/>
                                  <a:pt x="414" y="231"/>
                                </a:cubicBezTo>
                                <a:cubicBezTo>
                                  <a:pt x="414" y="231"/>
                                  <a:pt x="414" y="231"/>
                                  <a:pt x="414" y="231"/>
                                </a:cubicBezTo>
                                <a:cubicBezTo>
                                  <a:pt x="411" y="230"/>
                                  <a:pt x="407" y="229"/>
                                  <a:pt x="403" y="229"/>
                                </a:cubicBezTo>
                                <a:cubicBezTo>
                                  <a:pt x="393" y="229"/>
                                  <a:pt x="385" y="236"/>
                                  <a:pt x="382" y="246"/>
                                </a:cubicBezTo>
                                <a:cubicBezTo>
                                  <a:pt x="382" y="307"/>
                                  <a:pt x="382" y="307"/>
                                  <a:pt x="382" y="307"/>
                                </a:cubicBezTo>
                                <a:cubicBezTo>
                                  <a:pt x="365" y="307"/>
                                  <a:pt x="365" y="307"/>
                                  <a:pt x="365" y="307"/>
                                </a:cubicBezTo>
                                <a:cubicBezTo>
                                  <a:pt x="365" y="214"/>
                                  <a:pt x="365" y="214"/>
                                  <a:pt x="365" y="214"/>
                                </a:cubicBezTo>
                                <a:cubicBezTo>
                                  <a:pt x="382" y="214"/>
                                  <a:pt x="382" y="214"/>
                                  <a:pt x="382" y="214"/>
                                </a:cubicBezTo>
                                <a:cubicBezTo>
                                  <a:pt x="382" y="228"/>
                                  <a:pt x="382" y="228"/>
                                  <a:pt x="382" y="228"/>
                                </a:cubicBezTo>
                                <a:close/>
                                <a:moveTo>
                                  <a:pt x="474" y="212"/>
                                </a:moveTo>
                                <a:cubicBezTo>
                                  <a:pt x="502" y="212"/>
                                  <a:pt x="516" y="235"/>
                                  <a:pt x="516" y="260"/>
                                </a:cubicBezTo>
                                <a:cubicBezTo>
                                  <a:pt x="516" y="286"/>
                                  <a:pt x="502" y="309"/>
                                  <a:pt x="474" y="309"/>
                                </a:cubicBezTo>
                                <a:cubicBezTo>
                                  <a:pt x="463" y="309"/>
                                  <a:pt x="453" y="303"/>
                                  <a:pt x="448" y="296"/>
                                </a:cubicBezTo>
                                <a:cubicBezTo>
                                  <a:pt x="448" y="342"/>
                                  <a:pt x="448" y="342"/>
                                  <a:pt x="448" y="342"/>
                                </a:cubicBezTo>
                                <a:cubicBezTo>
                                  <a:pt x="430" y="342"/>
                                  <a:pt x="430" y="342"/>
                                  <a:pt x="430" y="342"/>
                                </a:cubicBezTo>
                                <a:cubicBezTo>
                                  <a:pt x="430" y="214"/>
                                  <a:pt x="430" y="214"/>
                                  <a:pt x="430" y="214"/>
                                </a:cubicBezTo>
                                <a:cubicBezTo>
                                  <a:pt x="448" y="214"/>
                                  <a:pt x="448" y="214"/>
                                  <a:pt x="448" y="214"/>
                                </a:cubicBezTo>
                                <a:cubicBezTo>
                                  <a:pt x="448" y="224"/>
                                  <a:pt x="448" y="224"/>
                                  <a:pt x="448" y="224"/>
                                </a:cubicBezTo>
                                <a:cubicBezTo>
                                  <a:pt x="453" y="218"/>
                                  <a:pt x="463" y="212"/>
                                  <a:pt x="474" y="212"/>
                                </a:cubicBezTo>
                                <a:close/>
                                <a:moveTo>
                                  <a:pt x="471" y="293"/>
                                </a:moveTo>
                                <a:cubicBezTo>
                                  <a:pt x="488" y="293"/>
                                  <a:pt x="498" y="279"/>
                                  <a:pt x="498" y="260"/>
                                </a:cubicBezTo>
                                <a:cubicBezTo>
                                  <a:pt x="498" y="242"/>
                                  <a:pt x="488" y="228"/>
                                  <a:pt x="471" y="228"/>
                                </a:cubicBezTo>
                                <a:cubicBezTo>
                                  <a:pt x="461" y="228"/>
                                  <a:pt x="453" y="233"/>
                                  <a:pt x="448" y="243"/>
                                </a:cubicBezTo>
                                <a:cubicBezTo>
                                  <a:pt x="448" y="278"/>
                                  <a:pt x="448" y="278"/>
                                  <a:pt x="448" y="278"/>
                                </a:cubicBezTo>
                                <a:cubicBezTo>
                                  <a:pt x="453" y="287"/>
                                  <a:pt x="461" y="293"/>
                                  <a:pt x="471" y="293"/>
                                </a:cubicBezTo>
                                <a:close/>
                                <a:moveTo>
                                  <a:pt x="554" y="228"/>
                                </a:moveTo>
                                <a:cubicBezTo>
                                  <a:pt x="558" y="218"/>
                                  <a:pt x="567" y="212"/>
                                  <a:pt x="577" y="212"/>
                                </a:cubicBezTo>
                                <a:cubicBezTo>
                                  <a:pt x="581" y="212"/>
                                  <a:pt x="585" y="213"/>
                                  <a:pt x="587" y="214"/>
                                </a:cubicBezTo>
                                <a:cubicBezTo>
                                  <a:pt x="587" y="231"/>
                                  <a:pt x="587" y="231"/>
                                  <a:pt x="587" y="231"/>
                                </a:cubicBezTo>
                                <a:cubicBezTo>
                                  <a:pt x="586" y="231"/>
                                  <a:pt x="586" y="231"/>
                                  <a:pt x="586" y="231"/>
                                </a:cubicBezTo>
                                <a:cubicBezTo>
                                  <a:pt x="583" y="230"/>
                                  <a:pt x="579" y="229"/>
                                  <a:pt x="575" y="229"/>
                                </a:cubicBezTo>
                                <a:cubicBezTo>
                                  <a:pt x="565" y="229"/>
                                  <a:pt x="557" y="236"/>
                                  <a:pt x="554" y="246"/>
                                </a:cubicBezTo>
                                <a:cubicBezTo>
                                  <a:pt x="554" y="307"/>
                                  <a:pt x="554" y="307"/>
                                  <a:pt x="554" y="307"/>
                                </a:cubicBezTo>
                                <a:cubicBezTo>
                                  <a:pt x="537" y="307"/>
                                  <a:pt x="537" y="307"/>
                                  <a:pt x="537" y="307"/>
                                </a:cubicBezTo>
                                <a:cubicBezTo>
                                  <a:pt x="537" y="214"/>
                                  <a:pt x="537" y="214"/>
                                  <a:pt x="537" y="214"/>
                                </a:cubicBezTo>
                                <a:cubicBezTo>
                                  <a:pt x="554" y="214"/>
                                  <a:pt x="554" y="214"/>
                                  <a:pt x="554" y="214"/>
                                </a:cubicBezTo>
                                <a:cubicBezTo>
                                  <a:pt x="554" y="228"/>
                                  <a:pt x="554" y="228"/>
                                  <a:pt x="554" y="228"/>
                                </a:cubicBezTo>
                                <a:close/>
                                <a:moveTo>
                                  <a:pt x="612" y="176"/>
                                </a:moveTo>
                                <a:cubicBezTo>
                                  <a:pt x="618" y="176"/>
                                  <a:pt x="623" y="181"/>
                                  <a:pt x="623" y="187"/>
                                </a:cubicBezTo>
                                <a:cubicBezTo>
                                  <a:pt x="623" y="193"/>
                                  <a:pt x="618" y="198"/>
                                  <a:pt x="612" y="198"/>
                                </a:cubicBezTo>
                                <a:cubicBezTo>
                                  <a:pt x="606" y="198"/>
                                  <a:pt x="601" y="193"/>
                                  <a:pt x="601" y="187"/>
                                </a:cubicBezTo>
                                <a:cubicBezTo>
                                  <a:pt x="601" y="181"/>
                                  <a:pt x="606" y="176"/>
                                  <a:pt x="612" y="176"/>
                                </a:cubicBezTo>
                                <a:close/>
                                <a:moveTo>
                                  <a:pt x="603" y="214"/>
                                </a:moveTo>
                                <a:cubicBezTo>
                                  <a:pt x="621" y="214"/>
                                  <a:pt x="621" y="214"/>
                                  <a:pt x="621" y="214"/>
                                </a:cubicBezTo>
                                <a:cubicBezTo>
                                  <a:pt x="621" y="307"/>
                                  <a:pt x="621" y="307"/>
                                  <a:pt x="621" y="307"/>
                                </a:cubicBezTo>
                                <a:cubicBezTo>
                                  <a:pt x="603" y="307"/>
                                  <a:pt x="603" y="307"/>
                                  <a:pt x="603" y="307"/>
                                </a:cubicBezTo>
                                <a:lnTo>
                                  <a:pt x="603" y="214"/>
                                </a:lnTo>
                                <a:close/>
                                <a:moveTo>
                                  <a:pt x="683" y="252"/>
                                </a:moveTo>
                                <a:cubicBezTo>
                                  <a:pt x="696" y="257"/>
                                  <a:pt x="711" y="262"/>
                                  <a:pt x="711" y="280"/>
                                </a:cubicBezTo>
                                <a:cubicBezTo>
                                  <a:pt x="711" y="299"/>
                                  <a:pt x="696" y="309"/>
                                  <a:pt x="675" y="309"/>
                                </a:cubicBezTo>
                                <a:cubicBezTo>
                                  <a:pt x="663" y="309"/>
                                  <a:pt x="651" y="306"/>
                                  <a:pt x="644" y="300"/>
                                </a:cubicBezTo>
                                <a:cubicBezTo>
                                  <a:pt x="644" y="283"/>
                                  <a:pt x="644" y="283"/>
                                  <a:pt x="644" y="283"/>
                                </a:cubicBezTo>
                                <a:cubicBezTo>
                                  <a:pt x="645" y="283"/>
                                  <a:pt x="645" y="283"/>
                                  <a:pt x="645" y="283"/>
                                </a:cubicBezTo>
                                <a:cubicBezTo>
                                  <a:pt x="653" y="291"/>
                                  <a:pt x="664" y="294"/>
                                  <a:pt x="675" y="294"/>
                                </a:cubicBezTo>
                                <a:cubicBezTo>
                                  <a:pt x="685" y="294"/>
                                  <a:pt x="694" y="290"/>
                                  <a:pt x="694" y="282"/>
                                </a:cubicBezTo>
                                <a:cubicBezTo>
                                  <a:pt x="694" y="274"/>
                                  <a:pt x="687" y="272"/>
                                  <a:pt x="672" y="267"/>
                                </a:cubicBezTo>
                                <a:cubicBezTo>
                                  <a:pt x="659" y="263"/>
                                  <a:pt x="644" y="258"/>
                                  <a:pt x="644" y="240"/>
                                </a:cubicBezTo>
                                <a:cubicBezTo>
                                  <a:pt x="644" y="223"/>
                                  <a:pt x="659" y="212"/>
                                  <a:pt x="678" y="212"/>
                                </a:cubicBezTo>
                                <a:cubicBezTo>
                                  <a:pt x="689" y="212"/>
                                  <a:pt x="699" y="214"/>
                                  <a:pt x="706" y="220"/>
                                </a:cubicBezTo>
                                <a:cubicBezTo>
                                  <a:pt x="706" y="236"/>
                                  <a:pt x="706" y="236"/>
                                  <a:pt x="706" y="236"/>
                                </a:cubicBezTo>
                                <a:cubicBezTo>
                                  <a:pt x="706" y="236"/>
                                  <a:pt x="706" y="236"/>
                                  <a:pt x="706" y="236"/>
                                </a:cubicBezTo>
                                <a:cubicBezTo>
                                  <a:pt x="698" y="230"/>
                                  <a:pt x="689" y="227"/>
                                  <a:pt x="678" y="227"/>
                                </a:cubicBezTo>
                                <a:cubicBezTo>
                                  <a:pt x="667" y="227"/>
                                  <a:pt x="661" y="232"/>
                                  <a:pt x="661" y="238"/>
                                </a:cubicBezTo>
                                <a:cubicBezTo>
                                  <a:pt x="661" y="246"/>
                                  <a:pt x="668" y="248"/>
                                  <a:pt x="683" y="252"/>
                                </a:cubicBezTo>
                                <a:close/>
                                <a:moveTo>
                                  <a:pt x="772" y="309"/>
                                </a:moveTo>
                                <a:cubicBezTo>
                                  <a:pt x="745" y="309"/>
                                  <a:pt x="726" y="290"/>
                                  <a:pt x="726" y="261"/>
                                </a:cubicBezTo>
                                <a:cubicBezTo>
                                  <a:pt x="726" y="232"/>
                                  <a:pt x="744" y="212"/>
                                  <a:pt x="769" y="212"/>
                                </a:cubicBezTo>
                                <a:cubicBezTo>
                                  <a:pt x="794" y="212"/>
                                  <a:pt x="807" y="230"/>
                                  <a:pt x="807" y="258"/>
                                </a:cubicBezTo>
                                <a:cubicBezTo>
                                  <a:pt x="807" y="266"/>
                                  <a:pt x="807" y="266"/>
                                  <a:pt x="807" y="266"/>
                                </a:cubicBezTo>
                                <a:cubicBezTo>
                                  <a:pt x="744" y="266"/>
                                  <a:pt x="744" y="266"/>
                                  <a:pt x="744" y="266"/>
                                </a:cubicBezTo>
                                <a:cubicBezTo>
                                  <a:pt x="746" y="284"/>
                                  <a:pt x="758" y="293"/>
                                  <a:pt x="774" y="293"/>
                                </a:cubicBezTo>
                                <a:cubicBezTo>
                                  <a:pt x="785" y="293"/>
                                  <a:pt x="792" y="291"/>
                                  <a:pt x="800" y="285"/>
                                </a:cubicBezTo>
                                <a:cubicBezTo>
                                  <a:pt x="801" y="285"/>
                                  <a:pt x="801" y="285"/>
                                  <a:pt x="801" y="285"/>
                                </a:cubicBezTo>
                                <a:cubicBezTo>
                                  <a:pt x="801" y="300"/>
                                  <a:pt x="801" y="300"/>
                                  <a:pt x="801" y="300"/>
                                </a:cubicBezTo>
                                <a:cubicBezTo>
                                  <a:pt x="793" y="306"/>
                                  <a:pt x="783" y="309"/>
                                  <a:pt x="772" y="309"/>
                                </a:cubicBezTo>
                                <a:close/>
                                <a:moveTo>
                                  <a:pt x="744" y="251"/>
                                </a:moveTo>
                                <a:cubicBezTo>
                                  <a:pt x="791" y="251"/>
                                  <a:pt x="791" y="251"/>
                                  <a:pt x="791" y="251"/>
                                </a:cubicBezTo>
                                <a:cubicBezTo>
                                  <a:pt x="790" y="237"/>
                                  <a:pt x="783" y="227"/>
                                  <a:pt x="769" y="227"/>
                                </a:cubicBezTo>
                                <a:cubicBezTo>
                                  <a:pt x="756" y="227"/>
                                  <a:pt x="747" y="237"/>
                                  <a:pt x="744" y="251"/>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anchor>
            </w:drawing>
          </mc:Choice>
          <mc:Fallback>
            <w:pict>
              <v:group w14:anchorId="477EA9B3" id="Group 39" o:spid="_x0000_s1026" style="position:absolute;margin-left:157.4pt;margin-top:95.3pt;width:73.45pt;height:29.55pt;z-index:251674624" coordorigin="9325,12115" coordsize="50387,21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">
                <v:shape id="Freeform 120" o:spid="_x0000_s1027" style="position:absolute;left:9325;top:12115;width:17256;height:4984;visibility:visible;mso-wrap-style:square;v-text-anchor:top" coordsize="1087,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6BxcYA&#10;AADcAAAADwAAAGRycy9kb3ducmV2LnhtbESPQWvCQBCF74X+h2UK3uqmCq2mrhIUIXqrtnodstMk&#10;NDsbsqtJ++s7B8HbDO/Ne98sVoNr1JW6UHs28DJOQBEX3tZcGvg8bp9noEJEtth4JgO/FGC1fHxY&#10;YGp9zx90PcRSSQiHFA1UMbap1qGoyGEY+5ZYtG/fOYyydqW2HfYS7ho9SZJX7bBmaaiwpXVFxc/h&#10;4gz8zbO8zHb7r343fztP8+2mzU4bY0ZPQ/YOKtIQ7+bbdW4FfyL48oxMo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6BxcYAAADcAAAADwAAAAAAAAAAAAAAAACYAgAAZHJz&#10;L2Rvd25yZXYueG1sUEsFBgAAAAAEAAQA9QAAAIsDAAAAAA==&#10;" path="m,l,314r,l1087,314,1087,,,xm1018,245r-949,l69,69r949,l1018,245r,xe" fillcolor="#00b388" stroked="f">
                  <v:path arrowok="t" o:connecttype="custom" o:connectlocs="0,0;0,498475;0,498475;1725613,498475;1725613,0;0,0;1616075,388938;109538,388938;109538,109538;1616075,109538;1616075,388938;1616075,388938" o:connectangles="0,0,0,0,0,0,0,0,0,0,0,0"/>
                  <o:lock v:ext="edit" verticies="t"/>
                </v:shape>
                <v:shape id="Freeform 121" o:spid="_x0000_s1028" style="position:absolute;left:9325;top:20338;width:50387;height:12890;visibility:visible;mso-wrap-style:square;v-text-anchor:top" coordsize="1341,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6Av8IA&#10;AADcAAAADwAAAGRycy9kb3ducmV2LnhtbERPTWvCQBC9F/wPywje6iYKpaSuoqIgHoQmCj0O2WkS&#10;mp0N2TVZ/71bKPQ2j/c5q00wrRiod41lBek8AUFcWt1wpeBaHF/fQTiPrLG1TAoe5GCznrysMNN2&#10;5E8acl+JGMIuQwW1910mpStrMujmtiOO3LftDfoI+0rqHscYblq5SJI3abDh2FBjR/uayp/8bhTc&#10;iuHQnZf30O781y5Pj1UYL6NSs2nYfoDwFPy/+M990nH+IoXfZ+IF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noC/wgAAANwAAAAPAAAAAAAAAAAAAAAAAJgCAABkcnMvZG93&#10;bnJldi54bWxQSwUGAAAAAAQABAD1AAAAhwMAAAAA&#10;" path="m29,132c,132,,132,,132,,,,,,,29,,29,,29,v,52,,52,,52c80,52,80,52,80,52,80,,80,,80,v29,,29,,29,c109,132,109,132,109,132v-29,,-29,,-29,c80,77,80,77,80,77v-51,,-51,,-51,l29,132xm174,134v-29,,-49,-18,-49,-49c125,56,144,36,170,36v28,,42,19,42,47c212,93,212,93,212,93v-60,,-60,,-60,c155,108,167,112,178,112v10,,17,-2,26,-8c205,104,205,104,205,104v,22,,22,,22c198,131,187,134,174,134xm152,74v34,,34,,34,c186,64,182,58,170,58v-8,,-15,3,-18,16xm287,77v-15,55,-15,55,-15,55c247,132,247,132,247,132,218,39,218,39,218,39v,-1,,-1,,-1c246,38,246,38,246,38v15,55,15,55,15,55c276,38,276,38,276,38v22,,22,,22,c313,93,313,93,313,93,329,38,329,38,329,38v26,,26,,26,c355,39,355,39,355,39v-28,93,-28,93,-28,93c302,132,302,132,302,132l287,77xm402,134v-23,,-32,-9,-32,-30c370,,370,,370,v28,,28,,28,c398,102,398,102,398,102v,6,2,9,8,9c408,111,410,110,412,109v1,,1,,1,c413,132,413,132,413,132v-3,1,-7,2,-11,2xm469,134v-29,,-49,-18,-49,-49c420,56,440,36,465,36v29,,42,19,42,47c507,93,507,93,507,93v-59,,-59,,-59,c451,108,462,112,474,112v10,,17,-2,26,-8c501,104,501,104,501,104v,22,,22,,22c493,131,482,134,469,134xm448,74v34,,34,,34,c481,64,477,58,466,58v-9,,-16,3,-18,16xm622,38v20,,20,,20,c642,60,642,60,642,60v-20,,-20,,-20,c622,99,622,99,622,99v,8,3,12,11,12c636,111,639,110,642,109v,,,,,c642,131,642,131,642,131v-3,1,-9,3,-17,3c603,134,594,124,594,100v,-40,,-40,,-40c558,60,558,60,558,60v,39,,39,,39c558,107,561,111,570,111v2,,5,-1,8,-2c579,109,579,109,579,109v,22,,22,,22c575,132,570,134,562,134v-23,,-32,-10,-32,-34c530,60,530,60,530,60v-14,,-14,,-14,c516,38,516,38,516,38v14,,14,,14,c530,12,530,12,530,12v28,,28,,28,c558,38,558,38,558,38v36,,36,,36,c594,12,594,12,594,12v28,,28,,28,c622,38,622,38,622,38xm787,45v,28,-19,44,-49,44c718,89,718,89,718,89v,43,,43,,43c689,132,689,132,689,132,689,,689,,689,v49,,49,,49,c768,,787,16,787,45xm736,65v15,,22,-8,22,-20c758,33,751,24,736,24v-18,,-18,,-18,c718,65,718,65,718,65r18,xm849,123v-6,7,-15,11,-25,11c806,134,791,122,791,103v,-19,15,-31,36,-31c834,72,841,73,848,75v,-2,,-2,,-2c848,63,842,59,827,59v-9,,-18,3,-26,7c800,66,800,66,800,66v,-22,,-22,,-22c807,40,820,36,832,36v28,,44,13,44,37c876,132,876,132,876,132v-27,,-27,,-27,c849,123,849,123,849,123xm848,102v,-8,,-8,,-8c844,92,838,91,833,91v-10,,-15,4,-15,11c818,110,823,113,832,113v7,,13,-4,16,-11xm890,85v,-30,21,-49,49,-49c949,36,958,38,965,43v,24,,24,,24c964,67,964,67,964,67v-6,-5,-13,-7,-21,-7c929,60,918,69,918,85v,16,11,25,25,25c951,110,958,108,964,103v1,,1,,1,c965,127,965,127,965,127v-7,5,-16,7,-26,7c911,134,890,115,890,85xm1010,89v,43,,43,,43c983,132,983,132,983,132,983,,983,,983,v27,,27,,27,c1010,75,1010,75,1010,75v29,-37,29,-37,29,-37c1070,38,1070,38,1070,38v,1,,1,,1c1036,82,1036,82,1036,82v34,49,34,49,34,49c1070,132,1070,132,1070,132v-32,,-32,,-32,l1010,89xm1133,123v-6,7,-15,11,-25,11c1090,134,1075,122,1075,103v,-19,15,-31,37,-31c1118,72,1125,73,1133,75v,-2,,-2,,-2c1133,63,1127,59,1112,59v-10,,-19,3,-26,7c1084,66,1084,66,1084,66v,-22,,-22,,-22c1092,40,1104,36,1117,36v28,,43,13,43,37c1160,132,1160,132,1160,132v-27,,-27,,-27,c1133,123,1133,123,1133,123xm1133,102v,-8,,-8,,-8c1128,92,1123,91,1117,91v-9,,-14,4,-14,11c1103,110,1108,113,1116,113v8,,14,-4,17,-11xm1207,53v5,-10,13,-16,23,-16c1234,37,1238,38,1239,39v,26,,26,,26c1238,65,1238,65,1238,65v-3,-1,-7,-2,-12,-2c1217,63,1210,68,1208,78v,54,,54,,54c1180,132,1180,132,1180,132v,-94,,-94,,-94c1207,38,1207,38,1207,38v,15,,15,,15xm1314,122v-6,8,-16,12,-28,12c1262,134,1246,112,1246,85v,-27,16,-49,40,-49c1298,36,1307,40,1313,47v,-47,,-47,,-47c1341,,1341,,1341,v,132,,132,,132c1314,132,1314,132,1314,132v,-10,,-10,,-10xm1313,100v,-30,,-30,,-30c1308,63,1302,60,1295,60v-12,,-20,9,-20,25c1275,101,1283,110,1295,110v7,,13,-3,18,-10xm,175v81,,81,,81,c81,191,81,191,81,191v-63,,-63,,-63,c18,231,18,231,18,231v57,,57,,57,c75,247,75,247,75,247v-57,,-57,,-57,c18,291,18,291,18,291v63,,63,,63,c81,307,81,307,81,307,,307,,307,,307l,175xm149,212v20,,32,14,32,36c181,307,181,307,181,307v-17,,-17,,-17,c164,249,164,249,164,249v,-12,-7,-21,-20,-21c133,228,124,235,121,245v,62,,62,,62c103,307,103,307,103,307v,-93,,-93,,-93c121,214,121,214,121,214v,13,,13,,13c126,219,136,212,149,212xm228,214v24,,24,,24,c252,229,252,229,252,229v-24,,-24,,-24,c228,279,228,279,228,279v,10,6,14,15,14c246,293,249,293,251,292v1,,1,,1,c252,307,252,307,252,307v-3,1,-6,2,-11,2c219,309,211,299,211,281v,-52,,-52,,-52c195,229,195,229,195,229v,-15,,-15,,-15c211,214,211,214,211,214v,-25,,-25,,-25c228,189,228,189,228,189r,25xm309,309v-27,,-46,-19,-46,-48c263,232,280,212,305,212v26,,39,18,39,46c344,266,344,266,344,266v-63,,-63,,-63,c282,284,295,293,311,293v10,,18,-2,26,-8c338,285,338,285,338,285v,15,,15,,15c330,306,320,309,309,309xm281,251v46,,46,,46,c327,237,320,227,306,227v-14,,-22,10,-25,24xm382,228v4,-10,13,-16,23,-16c409,212,413,213,414,214v,17,,17,,17c414,231,414,231,414,231v-3,-1,-7,-2,-11,-2c393,229,385,236,382,246v,61,,61,,61c365,307,365,307,365,307v,-93,,-93,,-93c382,214,382,214,382,214v,14,,14,,14xm474,212v28,,42,23,42,48c516,286,502,309,474,309v-11,,-21,-6,-26,-13c448,342,448,342,448,342v-18,,-18,,-18,c430,214,430,214,430,214v18,,18,,18,c448,224,448,224,448,224v5,-6,15,-12,26,-12xm471,293v17,,27,-14,27,-33c498,242,488,228,471,228v-10,,-18,5,-23,15c448,278,448,278,448,278v5,9,13,15,23,15xm554,228v4,-10,13,-16,23,-16c581,212,585,213,587,214v,17,,17,,17c586,231,586,231,586,231v-3,-1,-7,-2,-11,-2c565,229,557,236,554,246v,61,,61,,61c537,307,537,307,537,307v,-93,,-93,,-93c554,214,554,214,554,214v,14,,14,,14xm612,176v6,,11,5,11,11c623,193,618,198,612,198v-6,,-11,-5,-11,-11c601,181,606,176,612,176xm603,214v18,,18,,18,c621,307,621,307,621,307v-18,,-18,,-18,l603,214xm683,252v13,5,28,10,28,28c711,299,696,309,675,309v-12,,-24,-3,-31,-9c644,283,644,283,644,283v1,,1,,1,c653,291,664,294,675,294v10,,19,-4,19,-12c694,274,687,272,672,267v-13,-4,-28,-9,-28,-27c644,223,659,212,678,212v11,,21,2,28,8c706,236,706,236,706,236v,,,,,c698,230,689,227,678,227v-11,,-17,5,-17,11c661,246,668,248,683,252xm772,309v-27,,-46,-19,-46,-48c726,232,744,212,769,212v25,,38,18,38,46c807,266,807,266,807,266v-63,,-63,,-63,c746,284,758,293,774,293v11,,18,-2,26,-8c801,285,801,285,801,285v,15,,15,,15c793,306,783,309,772,309xm744,251v47,,47,,47,c790,237,783,227,769,227v-13,,-22,10,-25,24xe" fillcolor="black" stroked="f">
                  <v:path arrowok="t" o:connecttype="custom" o:connectlocs="300595,195996;108966,290225;796577,350531;653794,505066;1022023,497528;1037053,143228;1228682,497528;1495461,0;1510490,505066;1683332,350531;1683332,278917;2412276,226149;2412276,493759;2141740,418376;1991442,226149;2096651,143228;2772990,335455;2957104,169612;2765475,244995;3186308,275148;3291516,275148;3129946,342993;3625928,162074;3622171,388223;3795013,497528;4020459,143228;3795013,335455;4257178,275148;4358629,275148;4197059,342993;4655466,146997;4433777,497528;4681768,320378;4937274,497528;4865883,414607;67634,870674;304353,1157130;616220,1157130;387016,806599;946874,863136;946874,1157130;792820,806599;1146019,799060;1270014,1074208;1055840,946057;1514248,863136;1435341,859367;1615699,1289050;1871204,979980;2168042,799060;2081621,1157130;2340884,704831;2333369,1157130;2419790,1130746;2419790,904596;2483667,897058;3032253,1002594;2900743,1164668" o:connectangles="0,0,0,0,0,0,0,0,0,0,0,0,0,0,0,0,0,0,0,0,0,0,0,0,0,0,0,0,0,0,0,0,0,0,0,0,0,0,0,0,0,0,0,0,0,0,0,0,0,0,0,0,0,0,0,0,0,0"/>
                  <o:lock v:ext="edit" verticies="t"/>
                </v:shape>
              </v:group>
            </w:pict>
          </mc:Fallback>
        </mc:AlternateContent>
      </w:r>
      <w:r w:rsidRPr="00143AB4">
        <w:rPr>
          <w:rFonts w:ascii="Arial" w:eastAsia="PMingLiU" w:hAnsi="Arial" w:cs="Times New Roman"/>
          <w:noProof/>
          <w:color w:val="000000"/>
          <w:szCs w:val="20"/>
          <w:lang w:val="en-GB" w:eastAsia="en-GB"/>
        </w:rPr>
        <mc:AlternateContent>
          <mc:Choice Requires="wps">
            <w:drawing>
              <wp:anchor distT="0" distB="0" distL="114300" distR="114300" simplePos="0" relativeHeight="251672576" behindDoc="0" locked="0" layoutInCell="1" allowOverlap="1" wp14:anchorId="697E24C7" wp14:editId="2755CB73">
                <wp:simplePos x="0" y="0"/>
                <wp:positionH relativeFrom="column">
                  <wp:posOffset>1475105</wp:posOffset>
                </wp:positionH>
                <wp:positionV relativeFrom="paragraph">
                  <wp:posOffset>18415</wp:posOffset>
                </wp:positionV>
                <wp:extent cx="2011680" cy="731520"/>
                <wp:effectExtent l="19050" t="19050" r="26670" b="11430"/>
                <wp:wrapNone/>
                <wp:docPr id="122" name="Rectangle 48"/>
                <wp:cNvGraphicFramePr/>
                <a:graphic xmlns:a="http://schemas.openxmlformats.org/drawingml/2006/main">
                  <a:graphicData uri="http://schemas.microsoft.com/office/word/2010/wordprocessingShape">
                    <wps:wsp>
                      <wps:cNvSpPr/>
                      <wps:spPr bwMode="ltGray">
                        <a:xfrm>
                          <a:off x="0" y="0"/>
                          <a:ext cx="2011680" cy="731520"/>
                        </a:xfrm>
                        <a:prstGeom prst="rect">
                          <a:avLst/>
                        </a:prstGeom>
                        <a:noFill/>
                        <a:ln w="28575" cap="flat" cmpd="sng" algn="ctr">
                          <a:solidFill>
                            <a:srgbClr val="2AD2C9"/>
                          </a:solidFill>
                          <a:prstDash val="solid"/>
                          <a:miter lim="800000"/>
                        </a:ln>
                        <a:effectLst/>
                      </wps:spPr>
                      <wps:bodyPr rtlCol="0" anchor="ctr"/>
                    </wps:wsp>
                  </a:graphicData>
                </a:graphic>
              </wp:anchor>
            </w:drawing>
          </mc:Choice>
          <mc:Fallback>
            <w:pict>
              <v:rect w14:anchorId="723F9327" id="Rectangle 48" o:spid="_x0000_s1026" style="position:absolute;margin-left:116.15pt;margin-top:1.45pt;width:158.4pt;height:57.6pt;z-index:251672576;visibility:visible;mso-wrap-style:square;mso-wrap-distance-left:9pt;mso-wrap-distance-top:0;mso-wrap-distance-right:9pt;mso-wrap-distance-bottom:0;mso-position-horizontal:absolute;mso-position-horizontal-relative:text;mso-position-vertical:absolute;mso-position-vertical-relative:text;v-text-anchor:middle" o:bwmode="light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" filled="f" strokecolor="#2ad2c9" strokeweight="2.25pt"/>
            </w:pict>
          </mc:Fallback>
        </mc:AlternateContent>
      </w:r>
      <w:r w:rsidRPr="00143AB4">
        <w:rPr>
          <w:rFonts w:ascii="Arial" w:eastAsia="PMingLiU" w:hAnsi="Arial" w:cs="Times New Roman"/>
          <w:noProof/>
          <w:color w:val="000000"/>
          <w:szCs w:val="20"/>
          <w:lang w:val="en-GB" w:eastAsia="en-GB"/>
        </w:rPr>
        <mc:AlternateContent>
          <mc:Choice Requires="wps">
            <w:drawing>
              <wp:anchor distT="0" distB="0" distL="114300" distR="114300" simplePos="0" relativeHeight="251671552" behindDoc="0" locked="0" layoutInCell="1" allowOverlap="1" wp14:anchorId="216AB67F" wp14:editId="15E7F710">
                <wp:simplePos x="0" y="0"/>
                <wp:positionH relativeFrom="column">
                  <wp:posOffset>1475105</wp:posOffset>
                </wp:positionH>
                <wp:positionV relativeFrom="paragraph">
                  <wp:posOffset>1062355</wp:posOffset>
                </wp:positionV>
                <wp:extent cx="2011680" cy="731520"/>
                <wp:effectExtent l="19050" t="19050" r="26670" b="11430"/>
                <wp:wrapNone/>
                <wp:docPr id="123" name="Rectangle 40"/>
                <wp:cNvGraphicFramePr/>
                <a:graphic xmlns:a="http://schemas.openxmlformats.org/drawingml/2006/main">
                  <a:graphicData uri="http://schemas.microsoft.com/office/word/2010/wordprocessingShape">
                    <wps:wsp>
                      <wps:cNvSpPr/>
                      <wps:spPr bwMode="ltGray">
                        <a:xfrm>
                          <a:off x="0" y="0"/>
                          <a:ext cx="2011680" cy="731520"/>
                        </a:xfrm>
                        <a:prstGeom prst="rect">
                          <a:avLst/>
                        </a:prstGeom>
                        <a:noFill/>
                        <a:ln w="28575" cap="flat" cmpd="sng" algn="ctr">
                          <a:solidFill>
                            <a:srgbClr val="2AD2C9"/>
                          </a:solidFill>
                          <a:prstDash val="solid"/>
                          <a:miter lim="800000"/>
                        </a:ln>
                        <a:effectLst/>
                      </wps:spPr>
                      <wps:bodyPr rtlCol="0" anchor="ctr"/>
                    </wps:wsp>
                  </a:graphicData>
                </a:graphic>
              </wp:anchor>
            </w:drawing>
          </mc:Choice>
          <mc:Fallback>
            <w:pict>
              <v:rect w14:anchorId="4EC72822" id="Rectangle 40" o:spid="_x0000_s1026" style="position:absolute;margin-left:116.15pt;margin-top:83.65pt;width:158.4pt;height:57.6pt;z-index:251671552;visibility:visible;mso-wrap-style:square;mso-wrap-distance-left:9pt;mso-wrap-distance-top:0;mso-wrap-distance-right:9pt;mso-wrap-distance-bottom:0;mso-position-horizontal:absolute;mso-position-horizontal-relative:text;mso-position-vertical:absolute;mso-position-vertical-relative:text;v-text-anchor:middle" o:bwmode="light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" filled="f" strokecolor="#2ad2c9" strokeweight="2.25pt"/>
            </w:pict>
          </mc:Fallback>
        </mc:AlternateContent>
      </w:r>
      <w:r w:rsidRPr="00143AB4">
        <w:rPr>
          <w:rFonts w:ascii="Arial" w:eastAsia="PMingLiU" w:hAnsi="Arial" w:cs="Times New Roman"/>
          <w:noProof/>
          <w:color w:val="000000"/>
          <w:szCs w:val="20"/>
          <w:lang w:val="en-GB" w:eastAsia="en-GB"/>
        </w:rPr>
        <mc:AlternateContent>
          <mc:Choice Requires="wps">
            <w:drawing>
              <wp:anchor distT="0" distB="0" distL="114300" distR="114300" simplePos="0" relativeHeight="251669504" behindDoc="0" locked="0" layoutInCell="1" allowOverlap="1" wp14:anchorId="7EFDDAE1" wp14:editId="6BC2E12C">
                <wp:simplePos x="0" y="0"/>
                <wp:positionH relativeFrom="column">
                  <wp:posOffset>2465705</wp:posOffset>
                </wp:positionH>
                <wp:positionV relativeFrom="paragraph">
                  <wp:posOffset>765175</wp:posOffset>
                </wp:positionV>
                <wp:extent cx="0" cy="274320"/>
                <wp:effectExtent l="76200" t="0" r="57150" b="49530"/>
                <wp:wrapNone/>
                <wp:docPr id="124" name="Straight Arrow Connector 47"/>
                <wp:cNvGraphicFramePr/>
                <a:graphic xmlns:a="http://schemas.openxmlformats.org/drawingml/2006/main">
                  <a:graphicData uri="http://schemas.microsoft.com/office/word/2010/wordprocessingShape">
                    <wps:wsp>
                      <wps:cNvCnPr/>
                      <wps:spPr>
                        <a:xfrm>
                          <a:off x="0" y="0"/>
                          <a:ext cx="0" cy="27432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type w14:anchorId="478219F1" id="_x0000_t32" coordsize="21600,21600" o:spt="32" o:oned="t" path="m,l21600,21600e" filled="f">
                <v:path arrowok="t" fillok="f" o:connecttype="none"/>
                <o:lock v:ext="edit" shapetype="t"/>
              </v:shapetype>
              <v:shape id="Straight Arrow Connector 47" o:spid="_x0000_s1026" type="#_x0000_t32" style="position:absolute;margin-left:194.15pt;margin-top:60.25pt;width:0;height:21.6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" strokecolor="windowText" strokeweight="1.5pt">
                <v:stroke endarrow="block" joinstyle="miter"/>
              </v:shape>
            </w:pict>
          </mc:Fallback>
        </mc:AlternateContent>
      </w:r>
    </w:p>
    <w:p w14:paraId="7DCC59E5" w14:textId="77777777" w:rsidR="00D24A4B" w:rsidRPr="00143AB4" w:rsidRDefault="00D24A4B" w:rsidP="00D24A4B">
      <w:pPr>
        <w:spacing w:after="120" w:line="240" w:lineRule="auto"/>
        <w:rPr>
          <w:rFonts w:ascii="Arial" w:eastAsia="PMingLiU" w:hAnsi="Arial" w:cs="Times New Roman"/>
          <w:color w:val="000000"/>
          <w:szCs w:val="20"/>
        </w:rPr>
      </w:pPr>
    </w:p>
    <w:p w14:paraId="23A19576" w14:textId="77777777" w:rsidR="00D24A4B" w:rsidRPr="00143AB4" w:rsidRDefault="00D24A4B" w:rsidP="00D24A4B">
      <w:pPr>
        <w:spacing w:after="120" w:line="240" w:lineRule="auto"/>
        <w:rPr>
          <w:rFonts w:ascii="Arial" w:eastAsia="PMingLiU" w:hAnsi="Arial" w:cs="Times New Roman"/>
          <w:color w:val="000000"/>
          <w:szCs w:val="20"/>
        </w:rPr>
      </w:pPr>
      <w:r w:rsidRPr="00143AB4">
        <w:rPr>
          <w:rFonts w:ascii="Arial" w:eastAsia="PMingLiU" w:hAnsi="Arial" w:cs="Times New Roman"/>
          <w:noProof/>
          <w:color w:val="000000"/>
          <w:szCs w:val="20"/>
          <w:lang w:val="en-GB" w:eastAsia="en-GB"/>
        </w:rPr>
        <mc:AlternateContent>
          <mc:Choice Requires="wps">
            <w:drawing>
              <wp:anchor distT="0" distB="0" distL="114300" distR="114300" simplePos="0" relativeHeight="251673600" behindDoc="0" locked="0" layoutInCell="1" allowOverlap="1" wp14:anchorId="2E454381" wp14:editId="323B82B5">
                <wp:simplePos x="0" y="0"/>
                <wp:positionH relativeFrom="column">
                  <wp:posOffset>3851910</wp:posOffset>
                </wp:positionH>
                <wp:positionV relativeFrom="paragraph">
                  <wp:posOffset>67945</wp:posOffset>
                </wp:positionV>
                <wp:extent cx="1759585" cy="666750"/>
                <wp:effectExtent l="0" t="0" r="0" b="0"/>
                <wp:wrapNone/>
                <wp:docPr id="125" name="TextBox 31"/>
                <wp:cNvGraphicFramePr/>
                <a:graphic xmlns:a="http://schemas.openxmlformats.org/drawingml/2006/main">
                  <a:graphicData uri="http://schemas.microsoft.com/office/word/2010/wordprocessingShape">
                    <wps:wsp>
                      <wps:cNvSpPr txBox="1"/>
                      <wps:spPr>
                        <a:xfrm>
                          <a:off x="0" y="0"/>
                          <a:ext cx="1759585" cy="666750"/>
                        </a:xfrm>
                        <a:prstGeom prst="rect">
                          <a:avLst/>
                        </a:prstGeom>
                        <a:noFill/>
                      </wps:spPr>
                      <wps:txbx>
                        <w:txbxContent>
                          <w:p w14:paraId="6998D10D" w14:textId="77777777" w:rsidR="00D24A4B" w:rsidRDefault="00D24A4B" w:rsidP="00D24A4B">
                            <w:pPr>
                              <w:pStyle w:val="NormalWeb"/>
                              <w:spacing w:after="60" w:line="216" w:lineRule="auto"/>
                            </w:pPr>
                            <w:r w:rsidRPr="0001179B">
                              <w:rPr>
                                <w:rFonts w:eastAsia="+mn-ea" w:cs="+mn-cs"/>
                                <w:kern w:val="24"/>
                              </w:rPr>
                              <w:t>Purchasing Entity</w:t>
                            </w:r>
                            <w:r>
                              <w:rPr>
                                <w:rFonts w:eastAsia="+mn-ea" w:cs="+mn-cs"/>
                                <w:kern w:val="24"/>
                              </w:rPr>
                              <w:t xml:space="preserve"> acquires Azure Stack subscription, hardware and complete support from HPE</w:t>
                            </w:r>
                          </w:p>
                        </w:txbxContent>
                      </wps:txbx>
                      <wps:bodyPr wrap="square" lIns="0" tIns="0" rIns="0" bIns="0" rtlCol="0">
                        <a:noAutofit/>
                      </wps:bodyPr>
                    </wps:wsp>
                  </a:graphicData>
                </a:graphic>
                <wp14:sizeRelV relativeFrom="margin">
                  <wp14:pctHeight>0</wp14:pctHeight>
                </wp14:sizeRelV>
              </wp:anchor>
            </w:drawing>
          </mc:Choice>
          <mc:Fallback>
            <w:pict>
              <v:shapetype w14:anchorId="2E454381" id="_x0000_t202" coordsize="21600,21600" o:spt="202" path="m,l,21600r21600,l21600,xe">
                <v:stroke joinstyle="miter"/>
                <v:path gradientshapeok="t" o:connecttype="rect"/>
              </v:shapetype>
              <v:shape id="TextBox 31" o:spid="_x0000_s1031" type="#_x0000_t202" style="position:absolute;margin-left:303.3pt;margin-top:5.35pt;width:138.55pt;height:52.5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" filled="f" stroked="f">
                <v:textbox inset="0,0,0,0">
                  <w:txbxContent>
                    <w:p w14:paraId="6998D10D" w14:textId="77777777" w:rsidR="00D24A4B" w:rsidRDefault="00D24A4B" w:rsidP="00D24A4B">
                      <w:pPr>
                        <w:pStyle w:val="NormalWeb"/>
                        <w:spacing w:after="60" w:line="216" w:lineRule="auto"/>
                      </w:pPr>
                      <w:r w:rsidRPr="0001179B">
                        <w:rPr>
                          <w:rFonts w:eastAsia="+mn-ea" w:cs="+mn-cs"/>
                          <w:kern w:val="24"/>
                        </w:rPr>
                        <w:t>Purchasing Entity</w:t>
                      </w:r>
                      <w:r>
                        <w:rPr>
                          <w:rFonts w:eastAsia="+mn-ea" w:cs="+mn-cs"/>
                          <w:kern w:val="24"/>
                        </w:rPr>
                        <w:t xml:space="preserve"> acquires Azure Stack subscription, hardware and complete support from HPE</w:t>
                      </w:r>
                    </w:p>
                  </w:txbxContent>
                </v:textbox>
              </v:shape>
            </w:pict>
          </mc:Fallback>
        </mc:AlternateContent>
      </w:r>
    </w:p>
    <w:p w14:paraId="08EF9FAB" w14:textId="77777777" w:rsidR="00D24A4B" w:rsidRPr="00143AB4" w:rsidRDefault="00D24A4B" w:rsidP="00D24A4B">
      <w:pPr>
        <w:spacing w:after="120" w:line="240" w:lineRule="auto"/>
        <w:rPr>
          <w:rFonts w:ascii="Arial" w:eastAsia="PMingLiU" w:hAnsi="Arial" w:cs="Times New Roman"/>
          <w:color w:val="000000"/>
          <w:szCs w:val="20"/>
        </w:rPr>
      </w:pPr>
    </w:p>
    <w:p w14:paraId="6BCD27C1" w14:textId="77777777" w:rsidR="00D24A4B" w:rsidRPr="00143AB4" w:rsidRDefault="00D24A4B" w:rsidP="00D24A4B">
      <w:pPr>
        <w:spacing w:after="120" w:line="240" w:lineRule="auto"/>
        <w:rPr>
          <w:rFonts w:ascii="Arial" w:eastAsia="PMingLiU" w:hAnsi="Arial" w:cs="Times New Roman"/>
          <w:color w:val="000000"/>
          <w:szCs w:val="20"/>
        </w:rPr>
      </w:pPr>
    </w:p>
    <w:p w14:paraId="387AFFA4" w14:textId="77777777" w:rsidR="00D24A4B" w:rsidRPr="00143AB4" w:rsidRDefault="00D24A4B" w:rsidP="00D24A4B"/>
    <w:p w14:paraId="61ADF90A" w14:textId="77777777" w:rsidR="00D24A4B" w:rsidRPr="00143AB4" w:rsidRDefault="00D24A4B" w:rsidP="00D24A4B">
      <w:pPr>
        <w:spacing w:after="120" w:line="240" w:lineRule="auto"/>
        <w:rPr>
          <w:rFonts w:ascii="Arial" w:eastAsia="Arial" w:hAnsi="Arial" w:cs="Arial"/>
          <w:color w:val="000000"/>
          <w:szCs w:val="20"/>
        </w:rPr>
      </w:pPr>
    </w:p>
    <w:p w14:paraId="6A37D2E4" w14:textId="77777777" w:rsidR="00D24A4B" w:rsidRPr="00143AB4" w:rsidRDefault="00D24A4B" w:rsidP="00D24A4B">
      <w:pPr>
        <w:spacing w:after="120" w:line="240" w:lineRule="auto"/>
        <w:rPr>
          <w:rFonts w:ascii="Arial" w:eastAsia="Arial" w:hAnsi="Arial" w:cs="Arial"/>
          <w:color w:val="000000"/>
          <w:szCs w:val="20"/>
        </w:rPr>
      </w:pPr>
      <w:r w:rsidRPr="00143AB4">
        <w:rPr>
          <w:rFonts w:ascii="Arial" w:eastAsia="PMingLiU" w:hAnsi="Arial" w:cs="Times New Roman"/>
          <w:noProof/>
          <w:color w:val="000000"/>
          <w:szCs w:val="20"/>
          <w:lang w:val="en-GB" w:eastAsia="en-GB"/>
        </w:rPr>
        <mc:AlternateContent>
          <mc:Choice Requires="wps">
            <w:drawing>
              <wp:anchor distT="0" distB="0" distL="114300" distR="114300" simplePos="0" relativeHeight="251670528" behindDoc="0" locked="0" layoutInCell="1" allowOverlap="1" wp14:anchorId="3012213D" wp14:editId="4291DF93">
                <wp:simplePos x="0" y="0"/>
                <wp:positionH relativeFrom="column">
                  <wp:posOffset>2480945</wp:posOffset>
                </wp:positionH>
                <wp:positionV relativeFrom="paragraph">
                  <wp:posOffset>130175</wp:posOffset>
                </wp:positionV>
                <wp:extent cx="0" cy="373380"/>
                <wp:effectExtent l="76200" t="0" r="95250" b="64770"/>
                <wp:wrapNone/>
                <wp:docPr id="126" name="Straight Arrow Connector 49"/>
                <wp:cNvGraphicFramePr/>
                <a:graphic xmlns:a="http://schemas.openxmlformats.org/drawingml/2006/main">
                  <a:graphicData uri="http://schemas.microsoft.com/office/word/2010/wordprocessingShape">
                    <wps:wsp>
                      <wps:cNvCnPr/>
                      <wps:spPr>
                        <a:xfrm>
                          <a:off x="0" y="0"/>
                          <a:ext cx="0" cy="37338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 w14:anchorId="760B290E" id="Straight Arrow Connector 49" o:spid="_x0000_s1026" type="#_x0000_t32" style="position:absolute;margin-left:195.35pt;margin-top:10.25pt;width:0;height:29.4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" strokecolor="windowText" strokeweight="1.5pt">
                <v:stroke endarrow="block" joinstyle="miter"/>
              </v:shape>
            </w:pict>
          </mc:Fallback>
        </mc:AlternateContent>
      </w:r>
    </w:p>
    <w:p w14:paraId="7AA261FF" w14:textId="77777777" w:rsidR="00D24A4B" w:rsidRPr="00143AB4" w:rsidRDefault="00D24A4B" w:rsidP="00D24A4B">
      <w:pPr>
        <w:spacing w:after="120" w:line="240" w:lineRule="auto"/>
        <w:rPr>
          <w:rFonts w:ascii="Arial" w:eastAsia="PMingLiU" w:hAnsi="Arial" w:cs="Times New Roman"/>
          <w:color w:val="000000"/>
          <w:szCs w:val="20"/>
        </w:rPr>
      </w:pPr>
    </w:p>
    <w:p w14:paraId="4296666D" w14:textId="77777777" w:rsidR="00D24A4B" w:rsidRPr="00143AB4" w:rsidRDefault="00D24A4B" w:rsidP="00D24A4B">
      <w:pPr>
        <w:spacing w:after="120" w:line="240" w:lineRule="auto"/>
        <w:rPr>
          <w:rFonts w:ascii="Arial" w:eastAsia="PMingLiU" w:hAnsi="Arial" w:cs="Times New Roman"/>
          <w:color w:val="000000"/>
          <w:szCs w:val="20"/>
        </w:rPr>
      </w:pPr>
      <w:r w:rsidRPr="00143AB4">
        <w:rPr>
          <w:rFonts w:ascii="Arial" w:eastAsia="PMingLiU" w:hAnsi="Arial" w:cs="Times New Roman"/>
          <w:noProof/>
          <w:color w:val="000000"/>
          <w:szCs w:val="20"/>
          <w:lang w:val="en-GB" w:eastAsia="en-GB"/>
        </w:rPr>
        <mc:AlternateContent>
          <mc:Choice Requires="wps">
            <w:drawing>
              <wp:anchor distT="0" distB="0" distL="114300" distR="114300" simplePos="0" relativeHeight="251668480" behindDoc="0" locked="0" layoutInCell="1" allowOverlap="1" wp14:anchorId="713AF001" wp14:editId="7D163BE3">
                <wp:simplePos x="0" y="0"/>
                <wp:positionH relativeFrom="column">
                  <wp:posOffset>1489075</wp:posOffset>
                </wp:positionH>
                <wp:positionV relativeFrom="paragraph">
                  <wp:posOffset>31750</wp:posOffset>
                </wp:positionV>
                <wp:extent cx="2009691" cy="590550"/>
                <wp:effectExtent l="19050" t="19050" r="10160" b="19050"/>
                <wp:wrapNone/>
                <wp:docPr id="127" name="Rectangle 4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ltGray">
                        <a:xfrm>
                          <a:off x="0" y="0"/>
                          <a:ext cx="2009691" cy="590550"/>
                        </a:xfrm>
                        <a:prstGeom prst="rect">
                          <a:avLst/>
                        </a:prstGeom>
                        <a:noFill/>
                        <a:ln w="28575" cap="flat" cmpd="sng" algn="ctr">
                          <a:solidFill>
                            <a:srgbClr val="425563"/>
                          </a:solidFill>
                          <a:prstDash val="solid"/>
                          <a:miter lim="800000"/>
                        </a:ln>
                        <a:effectLst/>
                      </wps:spPr>
                      <wps:txbx>
                        <w:txbxContent>
                          <w:p w14:paraId="4E35C269" w14:textId="77777777" w:rsidR="00D24A4B" w:rsidRPr="0001179B" w:rsidRDefault="00D24A4B" w:rsidP="00D24A4B">
                            <w:pPr>
                              <w:pStyle w:val="NormalWeb"/>
                              <w:spacing w:after="0" w:line="216" w:lineRule="auto"/>
                              <w:jc w:val="center"/>
                              <w:rPr>
                                <w:sz w:val="40"/>
                                <w:szCs w:val="40"/>
                              </w:rPr>
                            </w:pPr>
                            <w:r w:rsidRPr="0001179B">
                              <w:rPr>
                                <w:rFonts w:eastAsia="+mn-ea" w:cs="+mn-cs"/>
                                <w:kern w:val="24"/>
                                <w:sz w:val="32"/>
                                <w:szCs w:val="40"/>
                              </w:rPr>
                              <w:t>Purchasing Entity</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13AF001" id="Rectangle 43" o:spid="_x0000_s1032" style="position:absolute;margin-left:117.25pt;margin-top:2.5pt;width:158.25pt;height:4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bwmode="light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" filled="f" strokecolor="#425563" strokeweight="2.25pt">
                <v:path arrowok="t"/>
                <o:lock v:ext="edit" aspectratio="t"/>
                <v:textbox>
                  <w:txbxContent>
                    <w:p w14:paraId="4E35C269" w14:textId="77777777" w:rsidR="00D24A4B" w:rsidRPr="0001179B" w:rsidRDefault="00D24A4B" w:rsidP="00D24A4B">
                      <w:pPr>
                        <w:pStyle w:val="NormalWeb"/>
                        <w:spacing w:after="0" w:line="216" w:lineRule="auto"/>
                        <w:jc w:val="center"/>
                        <w:rPr>
                          <w:sz w:val="40"/>
                          <w:szCs w:val="40"/>
                        </w:rPr>
                      </w:pPr>
                      <w:r w:rsidRPr="0001179B">
                        <w:rPr>
                          <w:rFonts w:eastAsia="+mn-ea" w:cs="+mn-cs"/>
                          <w:kern w:val="24"/>
                          <w:sz w:val="32"/>
                          <w:szCs w:val="40"/>
                        </w:rPr>
                        <w:t>Purchasing Entity</w:t>
                      </w:r>
                    </w:p>
                  </w:txbxContent>
                </v:textbox>
              </v:rect>
            </w:pict>
          </mc:Fallback>
        </mc:AlternateContent>
      </w:r>
    </w:p>
    <w:p w14:paraId="1EE447EE" w14:textId="77777777" w:rsidR="00D24A4B" w:rsidRPr="00143AB4" w:rsidRDefault="00D24A4B" w:rsidP="00D24A4B">
      <w:pPr>
        <w:spacing w:after="120" w:line="240" w:lineRule="auto"/>
        <w:rPr>
          <w:rFonts w:ascii="Arial" w:eastAsia="PMingLiU" w:hAnsi="Arial" w:cs="Times New Roman"/>
          <w:color w:val="000000"/>
          <w:szCs w:val="20"/>
        </w:rPr>
      </w:pPr>
    </w:p>
    <w:p w14:paraId="36A83141" w14:textId="77777777" w:rsidR="00D24A4B" w:rsidRDefault="00D24A4B" w:rsidP="00D24A4B"/>
    <w:p w14:paraId="6D766280" w14:textId="77777777" w:rsidR="00D24A4B" w:rsidRPr="00143AB4" w:rsidRDefault="00D24A4B" w:rsidP="00D24A4B">
      <w:pPr>
        <w:pStyle w:val="Heading50"/>
      </w:pPr>
      <w:r w:rsidRPr="00143AB4">
        <w:t>What exactly are Microsoft Azure services, Azure public cloud, Azure Stack, Hybrid-IT and Hybrid Cloud, and how are they related</w:t>
      </w:r>
      <w:r>
        <w:t xml:space="preserve">? </w:t>
      </w:r>
    </w:p>
    <w:p w14:paraId="71ADCB2C" w14:textId="77777777" w:rsidR="00D24A4B" w:rsidRPr="00143AB4" w:rsidRDefault="00D24A4B" w:rsidP="00D24A4B">
      <w:pPr>
        <w:pStyle w:val="Bullet1Double"/>
        <w:numPr>
          <w:ilvl w:val="0"/>
          <w:numId w:val="9"/>
        </w:numPr>
        <w:tabs>
          <w:tab w:val="clear" w:pos="0"/>
        </w:tabs>
        <w:ind w:left="360" w:hanging="360"/>
        <w:rPr>
          <w:color w:val="0000FF"/>
          <w:szCs w:val="18"/>
          <w:u w:val="single"/>
        </w:rPr>
      </w:pPr>
      <w:r w:rsidRPr="00143AB4">
        <w:rPr>
          <w:b/>
        </w:rPr>
        <w:t>Azure public</w:t>
      </w:r>
      <w:r w:rsidRPr="00143AB4">
        <w:t xml:space="preserve"> is a cloud computing platform for PaaS</w:t>
      </w:r>
      <w:r>
        <w:t>,</w:t>
      </w:r>
      <w:r w:rsidRPr="00143AB4">
        <w:t xml:space="preserve"> IaaS, </w:t>
      </w:r>
      <w:r>
        <w:t xml:space="preserve">and </w:t>
      </w:r>
      <w:r w:rsidRPr="00143AB4">
        <w:t>SaaS</w:t>
      </w:r>
      <w:r>
        <w:t xml:space="preserve">. </w:t>
      </w:r>
      <w:r w:rsidRPr="00143AB4">
        <w:t>Simply put, the infrastructure and applications necessary to run specific IT tasks, reside in data centers operated and managed by Microsoft</w:t>
      </w:r>
      <w:r>
        <w:t xml:space="preserve">. </w:t>
      </w:r>
      <w:r w:rsidRPr="00143AB4">
        <w:t>The users are then charged a monthly “rental” fee, for using the infrastructure and applications they use or “consume” from Microsoft</w:t>
      </w:r>
      <w:r>
        <w:t xml:space="preserve">. </w:t>
      </w:r>
      <w:r w:rsidRPr="00143AB4">
        <w:t>A few examples of product categories include</w:t>
      </w:r>
      <w:r>
        <w:t xml:space="preserve">: </w:t>
      </w:r>
      <w:r w:rsidRPr="00143AB4">
        <w:t>Compute (e.g. Windows or Linux virtual machines), Containers, Networking, Analytics, Security &amp; Identity, Developer Tools, Management Tools, etc., with more than 100 “products” available to public cloud users</w:t>
      </w:r>
      <w:r>
        <w:t xml:space="preserve">. </w:t>
      </w:r>
      <w:r w:rsidRPr="00143AB4">
        <w:t xml:space="preserve">These “products” available for “rental”, are called the </w:t>
      </w:r>
      <w:r w:rsidRPr="00143AB4">
        <w:rPr>
          <w:b/>
        </w:rPr>
        <w:t>Azure Services</w:t>
      </w:r>
      <w:r>
        <w:rPr>
          <w:b/>
        </w:rPr>
        <w:t xml:space="preserve">. </w:t>
      </w:r>
      <w:r w:rsidRPr="00143AB4">
        <w:fldChar w:fldCharType="begin"/>
      </w:r>
      <w:r w:rsidRPr="00143AB4">
        <w:instrText xml:space="preserve"> HYPERLINK "https://azure.microsoft.com/en-us/services/" </w:instrText>
      </w:r>
      <w:r w:rsidRPr="00143AB4">
        <w:fldChar w:fldCharType="separate"/>
      </w:r>
    </w:p>
    <w:p w14:paraId="33584ECC" w14:textId="77777777" w:rsidR="00D24A4B" w:rsidRPr="00143AB4" w:rsidRDefault="00D24A4B" w:rsidP="00D24A4B">
      <w:pPr>
        <w:pStyle w:val="Bullet1Double"/>
        <w:numPr>
          <w:ilvl w:val="0"/>
          <w:numId w:val="9"/>
        </w:numPr>
        <w:tabs>
          <w:tab w:val="clear" w:pos="0"/>
        </w:tabs>
        <w:ind w:left="360" w:hanging="360"/>
      </w:pPr>
      <w:r w:rsidRPr="00143AB4">
        <w:fldChar w:fldCharType="end"/>
      </w:r>
      <w:r w:rsidRPr="007D4EC3">
        <w:rPr>
          <w:b/>
        </w:rPr>
        <w:t xml:space="preserve"> </w:t>
      </w:r>
      <w:r w:rsidRPr="00143AB4">
        <w:rPr>
          <w:b/>
        </w:rPr>
        <w:t>Hybrid-IT</w:t>
      </w:r>
      <w:r w:rsidRPr="00143AB4">
        <w:t xml:space="preserve"> is a combination of running IT in a traditional fashion, while also leveraging a cloud computing platform, such as Azure, for certain IT tasks</w:t>
      </w:r>
      <w:r>
        <w:t xml:space="preserve">. </w:t>
      </w:r>
      <w:r w:rsidRPr="00143AB4">
        <w:t xml:space="preserve">Hybrid-Cloud is an IT environment that contains private cloud and/or multiple public cloud environments. Hybrid-IT &amp; hybrid-cloud strategies offer many benefits, especially for organizations needing to be more agile, enabling them to more rapidly respond to shifting market conditions (e.g. regulatory compliance, </w:t>
      </w:r>
      <w:r>
        <w:t>changing administrations</w:t>
      </w:r>
      <w:r w:rsidRPr="00143AB4">
        <w:t>, etc.) and/or to execute on new business initiatives (</w:t>
      </w:r>
      <w:r>
        <w:t>new legislation</w:t>
      </w:r>
      <w:r w:rsidRPr="00143AB4">
        <w:t>, expansion</w:t>
      </w:r>
      <w:r>
        <w:t xml:space="preserve"> of services</w:t>
      </w:r>
      <w:r w:rsidRPr="00143AB4">
        <w:t>, etc.)</w:t>
      </w:r>
      <w:r>
        <w:t xml:space="preserve">. </w:t>
      </w:r>
      <w:r w:rsidRPr="00143AB4">
        <w:t>Public and/or private cloud solutions have commonly been used for specific tasks</w:t>
      </w:r>
      <w:r>
        <w:t>.</w:t>
      </w:r>
    </w:p>
    <w:p w14:paraId="5DD3ACAB" w14:textId="77777777" w:rsidR="00D24A4B" w:rsidRPr="00143AB4" w:rsidRDefault="00D24A4B" w:rsidP="00D24A4B">
      <w:pPr>
        <w:pStyle w:val="Bullet1Double"/>
        <w:numPr>
          <w:ilvl w:val="0"/>
          <w:numId w:val="9"/>
        </w:numPr>
        <w:tabs>
          <w:tab w:val="clear" w:pos="0"/>
        </w:tabs>
        <w:ind w:left="360" w:hanging="360"/>
      </w:pPr>
      <w:r w:rsidRPr="00143AB4">
        <w:t>The evolution of cloud adoption is driving a market shift, which can inhibit an organization’s agility</w:t>
      </w:r>
      <w:r>
        <w:t xml:space="preserve">. </w:t>
      </w:r>
      <w:r w:rsidRPr="00143AB4">
        <w:t>Historically, public and/or private clouds have more commonly been leveraged for specific tasks, whereas this shift is requiring tasks and workloads to move between hybrid-IT and/or hybrid-cloud environments</w:t>
      </w:r>
      <w:r>
        <w:t xml:space="preserve">. </w:t>
      </w:r>
      <w:r w:rsidRPr="00143AB4">
        <w:t>This can be challenging due to the lack of a common and consistent interface between these environments</w:t>
      </w:r>
      <w:r>
        <w:t xml:space="preserve">. </w:t>
      </w:r>
      <w:r w:rsidRPr="00143AB4">
        <w:rPr>
          <w:b/>
        </w:rPr>
        <w:t>Azure Stack</w:t>
      </w:r>
      <w:r w:rsidRPr="00143AB4">
        <w:t xml:space="preserve"> was introduced to help organizations more effectively manage this market shift.</w:t>
      </w:r>
    </w:p>
    <w:p w14:paraId="1C93FDAE" w14:textId="77777777" w:rsidR="00D24A4B" w:rsidRPr="00143AB4" w:rsidRDefault="00D24A4B" w:rsidP="00D24A4B">
      <w:pPr>
        <w:pStyle w:val="Bullet1Double"/>
        <w:numPr>
          <w:ilvl w:val="0"/>
          <w:numId w:val="9"/>
        </w:numPr>
        <w:tabs>
          <w:tab w:val="clear" w:pos="0"/>
        </w:tabs>
        <w:ind w:left="360" w:hanging="360"/>
      </w:pPr>
      <w:r w:rsidRPr="00143AB4">
        <w:rPr>
          <w:b/>
        </w:rPr>
        <w:t>Azure Stack</w:t>
      </w:r>
      <w:r w:rsidRPr="00143AB4">
        <w:t xml:space="preserve"> is a private cloud solution wh</w:t>
      </w:r>
      <w:r>
        <w:t xml:space="preserve">ich is owned by and operated on </w:t>
      </w:r>
      <w:r w:rsidRPr="00143AB4">
        <w:t>premise in the user’s own data center</w:t>
      </w:r>
      <w:r>
        <w:t xml:space="preserve">. </w:t>
      </w:r>
      <w:r w:rsidRPr="00143AB4">
        <w:t>Azure Stack is an appliance, which is a pre-configured HPE server with the Microsoft Azure operating environment</w:t>
      </w:r>
      <w:r>
        <w:t>. O</w:t>
      </w:r>
      <w:r w:rsidRPr="00143AB4">
        <w:t xml:space="preserve">nce deployed, the Azure Stack operating environment interfaces with Azure public cloud, providing a consistent </w:t>
      </w:r>
      <w:r w:rsidRPr="00143AB4">
        <w:lastRenderedPageBreak/>
        <w:t xml:space="preserve">interface for both </w:t>
      </w:r>
      <w:r w:rsidRPr="00143AB4">
        <w:rPr>
          <w:b/>
        </w:rPr>
        <w:t>Azure public and the Azure Stack</w:t>
      </w:r>
      <w:r>
        <w:t xml:space="preserve"> on </w:t>
      </w:r>
      <w:r w:rsidRPr="00143AB4">
        <w:t>premise private cloud</w:t>
      </w:r>
      <w:r>
        <w:t xml:space="preserve">. </w:t>
      </w:r>
      <w:r w:rsidRPr="00143AB4">
        <w:rPr>
          <w:b/>
        </w:rPr>
        <w:t>Azure Services</w:t>
      </w:r>
      <w:r w:rsidRPr="00143AB4">
        <w:t xml:space="preserve"> are still required to operate Azure Stack, however, there are only a subset of the Azure Services available, as it is deploy</w:t>
      </w:r>
      <w:r>
        <w:t xml:space="preserve">ed on </w:t>
      </w:r>
      <w:r w:rsidRPr="00143AB4">
        <w:t>premise leveraging the organization’s existing investment in infrastructure and applications</w:t>
      </w:r>
      <w:r>
        <w:t xml:space="preserve">. </w:t>
      </w:r>
      <w:r w:rsidRPr="00143AB4">
        <w:t>These services are reported up through Azure public, which allows billing to occur for both Azure public and Azure Stack services, on a single invoice from HPE</w:t>
      </w:r>
      <w:r>
        <w:t xml:space="preserve">. </w:t>
      </w:r>
      <w:r w:rsidRPr="00143AB4">
        <w:t>Azure Stack addresses this critical shift in the market, enabling agility in an ever-evolving Hybrid-IT environment</w:t>
      </w:r>
      <w:r>
        <w:t xml:space="preserve">. </w:t>
      </w:r>
    </w:p>
    <w:p w14:paraId="7477C2B7" w14:textId="77777777" w:rsidR="00D24A4B" w:rsidRPr="00871A89" w:rsidRDefault="00D24A4B" w:rsidP="00D24A4B">
      <w:pPr>
        <w:pStyle w:val="Heading50"/>
      </w:pPr>
      <w:r w:rsidRPr="00871A89">
        <w:t>Software as a Service (SaaS)</w:t>
      </w:r>
    </w:p>
    <w:p w14:paraId="3175E3C3" w14:textId="77777777" w:rsidR="00D24A4B" w:rsidRPr="00871A89" w:rsidRDefault="00D24A4B" w:rsidP="00D24A4B">
      <w:pPr>
        <w:pStyle w:val="BodyText"/>
      </w:pPr>
      <w:r w:rsidRPr="00774E82">
        <w:t xml:space="preserve">Microsoft Azure Public Cloud has </w:t>
      </w:r>
      <w:r>
        <w:t>services</w:t>
      </w:r>
      <w:r w:rsidRPr="00774E82">
        <w:t xml:space="preserve"> that run as SaaS</w:t>
      </w:r>
      <w:r>
        <w:t>. SaaS</w:t>
      </w:r>
      <w:r w:rsidRPr="00774E82">
        <w:t xml:space="preserve"> provides ability to use these applications running on a cloud infrastructure. </w:t>
      </w:r>
    </w:p>
    <w:p w14:paraId="12AF7E4B" w14:textId="77777777" w:rsidR="00D24A4B" w:rsidRDefault="00D24A4B" w:rsidP="00D24A4B">
      <w:pPr>
        <w:pStyle w:val="BodyText"/>
      </w:pPr>
      <w:r w:rsidRPr="001F6DA3">
        <w:t xml:space="preserve">HPE is a certified Microsoft Cloud Solution Provider (CSP), which enables HPE to deliver and support the Azure platform and services for HPE’s customers. </w:t>
      </w:r>
    </w:p>
    <w:p w14:paraId="718CBD8A" w14:textId="77777777" w:rsidR="00D24A4B" w:rsidRPr="001F6DA3" w:rsidRDefault="00D24A4B" w:rsidP="00D24A4B">
      <w:pPr>
        <w:pStyle w:val="BodyText"/>
      </w:pPr>
      <w:r w:rsidRPr="001F6DA3">
        <w:t>Azure CSP is a program for Microsoft partners. It's also a license channel for various Microsoft cloud services. In addition, it's a new way to provide added value for customers while creating an end-to-end relationship with them and becoming a trusted advisor for various Microsoft c</w:t>
      </w:r>
      <w:r>
        <w:t>loud services, including Azure.</w:t>
      </w:r>
    </w:p>
    <w:p w14:paraId="3F503D1C" w14:textId="77777777" w:rsidR="00D24A4B" w:rsidRPr="001F6DA3" w:rsidRDefault="00D24A4B" w:rsidP="00D24A4B">
      <w:pPr>
        <w:pStyle w:val="BodyText"/>
      </w:pPr>
      <w:r w:rsidRPr="001F6DA3">
        <w:t>The Azure CSP product portfolio includes Office 365, Dynamics 365, Enterprise Mobility + Security, Azure, and other Microsof</w:t>
      </w:r>
      <w:r>
        <w:t>t online services for business.</w:t>
      </w:r>
    </w:p>
    <w:p w14:paraId="04453D42" w14:textId="77777777" w:rsidR="00D24A4B" w:rsidRPr="00871A89" w:rsidRDefault="00D24A4B" w:rsidP="00D24A4B">
      <w:pPr>
        <w:pStyle w:val="BodyText"/>
      </w:pPr>
      <w:r w:rsidRPr="001F6DA3">
        <w:t>Azure CSP enables partners to have end-to-end ownership of the customer lifecycle and relationship for Microsoft Azure. That means partners are empowered to manage sales, own the billing relationship, provide technical and billing support, and be the customer's single point of contact. In addition, Azure CSP provides a full set of tools, including a self-service portal and accompanying APIs to easily provision, manage, and provide billing for customers and their subscriptions.</w:t>
      </w:r>
    </w:p>
    <w:p w14:paraId="6F4BB789" w14:textId="77777777" w:rsidR="00D24A4B" w:rsidRDefault="00D24A4B" w:rsidP="00D24A4B">
      <w:pPr>
        <w:pStyle w:val="Subheading"/>
      </w:pPr>
      <w:r w:rsidRPr="008867B1">
        <w:t>Office 365 Services</w:t>
      </w:r>
    </w:p>
    <w:p w14:paraId="46CCE334" w14:textId="77777777" w:rsidR="00D24A4B" w:rsidRDefault="00D24A4B" w:rsidP="00D24A4B">
      <w:pPr>
        <w:pStyle w:val="Bullet2Double"/>
        <w:numPr>
          <w:ilvl w:val="0"/>
          <w:numId w:val="11"/>
        </w:numPr>
        <w:tabs>
          <w:tab w:val="clear" w:pos="360"/>
        </w:tabs>
        <w:ind w:left="720" w:hanging="360"/>
      </w:pPr>
      <w:r>
        <w:t>Microsoft® Office Cloud Services</w:t>
      </w:r>
    </w:p>
    <w:p w14:paraId="3D35130A" w14:textId="77777777" w:rsidR="00D24A4B" w:rsidRDefault="00D24A4B" w:rsidP="00D24A4B">
      <w:pPr>
        <w:pStyle w:val="Bullet2Double"/>
        <w:numPr>
          <w:ilvl w:val="0"/>
          <w:numId w:val="11"/>
        </w:numPr>
        <w:tabs>
          <w:tab w:val="clear" w:pos="360"/>
        </w:tabs>
        <w:ind w:left="720" w:hanging="360"/>
      </w:pPr>
      <w:r>
        <w:t>Exchange Online</w:t>
      </w:r>
    </w:p>
    <w:p w14:paraId="3828359C" w14:textId="77777777" w:rsidR="00D24A4B" w:rsidRDefault="00D24A4B" w:rsidP="00D24A4B">
      <w:pPr>
        <w:pStyle w:val="Bullet2Double"/>
        <w:numPr>
          <w:ilvl w:val="0"/>
          <w:numId w:val="11"/>
        </w:numPr>
        <w:tabs>
          <w:tab w:val="clear" w:pos="360"/>
        </w:tabs>
        <w:ind w:left="720" w:hanging="360"/>
      </w:pPr>
      <w:r>
        <w:t>SharePoint Online</w:t>
      </w:r>
    </w:p>
    <w:p w14:paraId="799D6661" w14:textId="77777777" w:rsidR="00D24A4B" w:rsidRDefault="00D24A4B" w:rsidP="00D24A4B">
      <w:pPr>
        <w:pStyle w:val="Bullet2Double"/>
        <w:numPr>
          <w:ilvl w:val="0"/>
          <w:numId w:val="11"/>
        </w:numPr>
        <w:tabs>
          <w:tab w:val="clear" w:pos="360"/>
        </w:tabs>
        <w:ind w:left="720" w:hanging="360"/>
      </w:pPr>
      <w:r>
        <w:t>Skype for Business Online</w:t>
      </w:r>
    </w:p>
    <w:p w14:paraId="266D86BC" w14:textId="77777777" w:rsidR="00D24A4B" w:rsidRDefault="00D24A4B" w:rsidP="00D24A4B">
      <w:pPr>
        <w:pStyle w:val="Bullet2Double"/>
        <w:numPr>
          <w:ilvl w:val="0"/>
          <w:numId w:val="11"/>
        </w:numPr>
        <w:tabs>
          <w:tab w:val="clear" w:pos="360"/>
        </w:tabs>
        <w:ind w:left="720" w:hanging="360"/>
      </w:pPr>
      <w:r>
        <w:t>Yammer</w:t>
      </w:r>
    </w:p>
    <w:p w14:paraId="52D69890" w14:textId="77777777" w:rsidR="00D24A4B" w:rsidRDefault="00D24A4B" w:rsidP="00D24A4B">
      <w:pPr>
        <w:pStyle w:val="Bullet2Double"/>
        <w:numPr>
          <w:ilvl w:val="0"/>
          <w:numId w:val="11"/>
        </w:numPr>
        <w:tabs>
          <w:tab w:val="clear" w:pos="360"/>
        </w:tabs>
        <w:ind w:left="720" w:hanging="360"/>
      </w:pPr>
      <w:r>
        <w:t>Outlook Online</w:t>
      </w:r>
    </w:p>
    <w:p w14:paraId="0DA7A3FB" w14:textId="77777777" w:rsidR="00D24A4B" w:rsidRDefault="00D24A4B" w:rsidP="00D24A4B">
      <w:pPr>
        <w:pStyle w:val="Bullet2Double"/>
        <w:numPr>
          <w:ilvl w:val="0"/>
          <w:numId w:val="11"/>
        </w:numPr>
        <w:tabs>
          <w:tab w:val="clear" w:pos="360"/>
        </w:tabs>
        <w:ind w:left="720" w:hanging="360"/>
      </w:pPr>
      <w:r>
        <w:t>Word Online</w:t>
      </w:r>
    </w:p>
    <w:p w14:paraId="734A9B96" w14:textId="77777777" w:rsidR="00D24A4B" w:rsidRDefault="00D24A4B" w:rsidP="00D24A4B">
      <w:pPr>
        <w:pStyle w:val="Bullet2Double"/>
        <w:numPr>
          <w:ilvl w:val="0"/>
          <w:numId w:val="11"/>
        </w:numPr>
        <w:tabs>
          <w:tab w:val="clear" w:pos="360"/>
        </w:tabs>
        <w:ind w:left="720" w:hanging="360"/>
      </w:pPr>
      <w:r>
        <w:t>Excel Online</w:t>
      </w:r>
    </w:p>
    <w:p w14:paraId="103FCDAB" w14:textId="77777777" w:rsidR="00D24A4B" w:rsidRDefault="00D24A4B" w:rsidP="00D24A4B">
      <w:pPr>
        <w:pStyle w:val="Bullet2Double"/>
        <w:numPr>
          <w:ilvl w:val="0"/>
          <w:numId w:val="11"/>
        </w:numPr>
        <w:tabs>
          <w:tab w:val="clear" w:pos="360"/>
        </w:tabs>
        <w:ind w:left="720" w:hanging="360"/>
      </w:pPr>
      <w:r>
        <w:t>PowerPoint Online</w:t>
      </w:r>
    </w:p>
    <w:p w14:paraId="7AC1DC7A" w14:textId="77777777" w:rsidR="00D24A4B" w:rsidRDefault="00D24A4B" w:rsidP="00D24A4B">
      <w:pPr>
        <w:pStyle w:val="Bullet2Double"/>
        <w:numPr>
          <w:ilvl w:val="0"/>
          <w:numId w:val="11"/>
        </w:numPr>
        <w:tabs>
          <w:tab w:val="clear" w:pos="360"/>
        </w:tabs>
        <w:ind w:left="720" w:hanging="360"/>
      </w:pPr>
      <w:r>
        <w:t>OneNote Online</w:t>
      </w:r>
    </w:p>
    <w:p w14:paraId="7A343FD5" w14:textId="77777777" w:rsidR="00D24A4B" w:rsidRDefault="00D24A4B" w:rsidP="00D24A4B">
      <w:pPr>
        <w:pStyle w:val="Bullet2Double"/>
        <w:numPr>
          <w:ilvl w:val="0"/>
          <w:numId w:val="11"/>
        </w:numPr>
        <w:tabs>
          <w:tab w:val="clear" w:pos="360"/>
        </w:tabs>
        <w:ind w:left="720" w:hanging="360"/>
      </w:pPr>
      <w:r>
        <w:t>Microsoft Teams</w:t>
      </w:r>
    </w:p>
    <w:p w14:paraId="4181D6F9" w14:textId="77777777" w:rsidR="00D24A4B" w:rsidRPr="00DB11B2" w:rsidRDefault="00D24A4B" w:rsidP="00D24A4B">
      <w:pPr>
        <w:pStyle w:val="Heading50"/>
      </w:pPr>
      <w:r w:rsidRPr="00A02E75">
        <w:t>Implement Azure Based Cloud Services in your Data Center</w:t>
      </w:r>
    </w:p>
    <w:p w14:paraId="2D20ED65" w14:textId="77777777" w:rsidR="00D24A4B" w:rsidRPr="00143AB4" w:rsidRDefault="00D24A4B" w:rsidP="00D24A4B">
      <w:pPr>
        <w:pStyle w:val="BodyText"/>
      </w:pPr>
      <w:r w:rsidRPr="00143AB4">
        <w:t xml:space="preserve">Use the same management and automation services to access Azure public and private cloud services from a single console enabling IT to provide a single-vendor experience for the entire Azure Stack environment with HPE infrastructure. </w:t>
      </w:r>
    </w:p>
    <w:p w14:paraId="633FF47C" w14:textId="77777777" w:rsidR="00D24A4B" w:rsidRPr="00143AB4" w:rsidRDefault="00D24A4B" w:rsidP="00D24A4B">
      <w:pPr>
        <w:pStyle w:val="BodyText"/>
      </w:pPr>
      <w:r w:rsidRPr="00143AB4">
        <w:lastRenderedPageBreak/>
        <w:t xml:space="preserve">The operational readiness services available from </w:t>
      </w:r>
      <w:r w:rsidRPr="00136FBC">
        <w:rPr>
          <w:b/>
        </w:rPr>
        <w:t>HPE Pointnext</w:t>
      </w:r>
      <w:r w:rsidRPr="00143AB4">
        <w:rPr>
          <w:rFonts w:ascii="MetricHPE-Bold" w:hAnsi="MetricHPE-Bold" w:cs="MetricHPE-Bold"/>
          <w:bCs/>
        </w:rPr>
        <w:t xml:space="preserve"> </w:t>
      </w:r>
      <w:r w:rsidRPr="00143AB4">
        <w:t>ensure that the HPE ProLiant for Microsoft Azure Stack solution is fully integrated with your data center environment and processes (e.g., identity and access, backup, disaster recovery, etc.) This means that the solution conforms to your security controls with consistent policies, unified security and event management across Azure hybrid cloud and traditional IT.</w:t>
      </w:r>
    </w:p>
    <w:p w14:paraId="27932D1D" w14:textId="77777777" w:rsidR="00D24A4B" w:rsidRPr="00143AB4" w:rsidRDefault="00D24A4B" w:rsidP="00D24A4B">
      <w:pPr>
        <w:pStyle w:val="BodyText"/>
      </w:pPr>
      <w:r w:rsidRPr="00143AB4">
        <w:t>Billing is calculated based on actual monthly usage. Within plan limits, your bill can be higher or lower than previous periods, based on the amount of infrastructure you actually use with no upfront costs.</w:t>
      </w:r>
    </w:p>
    <w:p w14:paraId="543672DF" w14:textId="77777777" w:rsidR="00D24A4B" w:rsidRPr="00143AB4" w:rsidRDefault="00D24A4B" w:rsidP="00D24A4B">
      <w:pPr>
        <w:pStyle w:val="BodyText"/>
      </w:pPr>
      <w:r w:rsidRPr="00143AB4">
        <w:t xml:space="preserve">Deploying a GreenLake Flex Capacity for Azure Stack environment will also enable the participating entity to adapt more rapidly to changing business conditions and to capitalize more quickly on cost-saving opportunities. </w:t>
      </w:r>
    </w:p>
    <w:p w14:paraId="47E1BDD6" w14:textId="77777777" w:rsidR="00D24A4B" w:rsidRDefault="00D24A4B" w:rsidP="00D24A4B">
      <w:pPr>
        <w:pStyle w:val="BodyText"/>
      </w:pPr>
      <w:r w:rsidRPr="00143AB4">
        <w:t>The HPE GreenLake ProLiant for Microsoft Azure Stack solution package is based on a minimum configuration. Actual configuration is subject to change but shall not provide less performance than summarized below.</w:t>
      </w:r>
    </w:p>
    <w:p w14:paraId="3A3C9901" w14:textId="77777777" w:rsidR="00D24A4B" w:rsidRDefault="00D24A4B" w:rsidP="00D24A4B">
      <w:pPr>
        <w:pStyle w:val="FigureCaptionAuto"/>
        <w:ind w:left="432" w:hanging="432"/>
      </w:pPr>
      <w:r>
        <w:t>Choose HPE to be Your Azure Stack Partner</w:t>
      </w:r>
    </w:p>
    <w:p w14:paraId="41C6822C" w14:textId="77777777" w:rsidR="00D24A4B" w:rsidRPr="00143AB4" w:rsidRDefault="00D24A4B" w:rsidP="00D24A4B">
      <w:pPr>
        <w:spacing w:after="0" w:line="240" w:lineRule="auto"/>
        <w:jc w:val="center"/>
        <w:rPr>
          <w:rFonts w:ascii="Arial" w:eastAsia="PMingLiU" w:hAnsi="Arial" w:cs="Times New Roman"/>
          <w:color w:val="000000"/>
          <w:szCs w:val="20"/>
        </w:rPr>
      </w:pPr>
      <w:r>
        <w:rPr>
          <w:rFonts w:ascii="Arial" w:eastAsia="PMingLiU" w:hAnsi="Arial" w:cs="Times New Roman"/>
          <w:noProof/>
          <w:color w:val="000000"/>
          <w:szCs w:val="20"/>
          <w:lang w:val="en-GB" w:eastAsia="en-GB"/>
        </w:rPr>
        <w:drawing>
          <wp:inline distT="0" distB="0" distL="0" distR="0" wp14:anchorId="59047876" wp14:editId="1B8E3098">
            <wp:extent cx="5624830" cy="246634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230A925.tmp"/>
                    <pic:cNvPicPr/>
                  </pic:nvPicPr>
                  <pic:blipFill>
                    <a:blip r:embed="rId19">
                      <a:extLst>
                        <a:ext uri="{28A0092B-C50C-407E-A947-70E740481C1C}">
                          <a14:useLocalDpi xmlns:a14="http://schemas.microsoft.com/office/drawing/2010/main" val="0"/>
                        </a:ext>
                      </a:extLst>
                    </a:blip>
                    <a:stretch>
                      <a:fillRect/>
                    </a:stretch>
                  </pic:blipFill>
                  <pic:spPr>
                    <a:xfrm>
                      <a:off x="0" y="0"/>
                      <a:ext cx="5624830" cy="2466340"/>
                    </a:xfrm>
                    <a:prstGeom prst="rect">
                      <a:avLst/>
                    </a:prstGeom>
                  </pic:spPr>
                </pic:pic>
              </a:graphicData>
            </a:graphic>
          </wp:inline>
        </w:drawing>
      </w:r>
    </w:p>
    <w:p w14:paraId="777C9E68" w14:textId="77777777" w:rsidR="00D24A4B" w:rsidRDefault="00D24A4B" w:rsidP="00D24A4B">
      <w:pPr>
        <w:pStyle w:val="BodyText"/>
      </w:pPr>
      <w:r>
        <w:rPr>
          <w:noProof/>
          <w:lang w:val="en-GB" w:eastAsia="en-GB"/>
        </w:rPr>
        <w:drawing>
          <wp:inline distT="0" distB="0" distL="0" distR="0" wp14:anchorId="38EAF602" wp14:editId="28EC8CCF">
            <wp:extent cx="5624830" cy="2832100"/>
            <wp:effectExtent l="0" t="0" r="0" b="635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230F0C9.tmp"/>
                    <pic:cNvPicPr/>
                  </pic:nvPicPr>
                  <pic:blipFill>
                    <a:blip r:embed="rId20">
                      <a:extLst>
                        <a:ext uri="{28A0092B-C50C-407E-A947-70E740481C1C}">
                          <a14:useLocalDpi xmlns:a14="http://schemas.microsoft.com/office/drawing/2010/main" val="0"/>
                        </a:ext>
                      </a:extLst>
                    </a:blip>
                    <a:stretch>
                      <a:fillRect/>
                    </a:stretch>
                  </pic:blipFill>
                  <pic:spPr>
                    <a:xfrm>
                      <a:off x="0" y="0"/>
                      <a:ext cx="5624830" cy="2832100"/>
                    </a:xfrm>
                    <a:prstGeom prst="rect">
                      <a:avLst/>
                    </a:prstGeom>
                  </pic:spPr>
                </pic:pic>
              </a:graphicData>
            </a:graphic>
          </wp:inline>
        </w:drawing>
      </w:r>
    </w:p>
    <w:p w14:paraId="02D6067A" w14:textId="77777777" w:rsidR="00D24A4B" w:rsidRDefault="00D24A4B" w:rsidP="00D24A4B">
      <w:pPr>
        <w:pStyle w:val="Heading30"/>
      </w:pPr>
      <w:bookmarkStart w:id="7" w:name="_Toc518548580"/>
      <w:r w:rsidRPr="005857F9">
        <w:lastRenderedPageBreak/>
        <w:t>HPE GreenLake Flex Capacity Package</w:t>
      </w:r>
      <w:r>
        <w:t xml:space="preserve"> </w:t>
      </w:r>
      <w:r w:rsidRPr="00A923BA">
        <w:t>HPE Synergy 480 Compute Modules</w:t>
      </w:r>
      <w:r>
        <w:t xml:space="preserve"> (IaaS)</w:t>
      </w:r>
      <w:bookmarkEnd w:id="7"/>
    </w:p>
    <w:p w14:paraId="67C33230" w14:textId="77777777" w:rsidR="00D24A4B" w:rsidRPr="00A923BA" w:rsidRDefault="00D24A4B" w:rsidP="00D24A4B">
      <w:pPr>
        <w:pStyle w:val="BodyText"/>
      </w:pPr>
      <w:r w:rsidRPr="00A923BA">
        <w:t xml:space="preserve">HPE Synergy is a single composable infrastructure that can help IT organizations simplify operational complexity in traditional environments and accelerate service velocity. Today’s idea economy calls for </w:t>
      </w:r>
      <w:r>
        <w:t xml:space="preserve">the </w:t>
      </w:r>
      <w:r w:rsidRPr="00A923BA">
        <w:t>transform</w:t>
      </w:r>
      <w:r>
        <w:t>ation of</w:t>
      </w:r>
      <w:r w:rsidRPr="00A923BA">
        <w:t xml:space="preserve"> ideas into services at a faster pace. It has never been easier, or more crucial, to turn ideas into new products, services, or applications—and quickly </w:t>
      </w:r>
      <w:r>
        <w:t>provide</w:t>
      </w:r>
      <w:r w:rsidRPr="00A923BA">
        <w:t xml:space="preserve"> them to </w:t>
      </w:r>
      <w:r>
        <w:t>the public</w:t>
      </w:r>
      <w:r w:rsidRPr="00A923BA">
        <w:t>. New classes of applications exist in the idea economy which bring ideas to market faster and more efficiently. At the same time, IT environments must sustain traditional business applications that run core business operations. Examples of these traditional applications include large prepackaged databases and enterprise resource planning (ERP) applications. Gartner describes this type of IT environment as “bimodal computing.” Agencies are expected to adopt a strategy that maintains existing infrastructure for traditional applications, and creates a different infrastructure and tools for the new cloud-native and mobile applications.</w:t>
      </w:r>
    </w:p>
    <w:p w14:paraId="46693A4D" w14:textId="77777777" w:rsidR="00D24A4B" w:rsidRPr="00A923BA" w:rsidRDefault="00D24A4B" w:rsidP="00D24A4B">
      <w:pPr>
        <w:pStyle w:val="BodyText"/>
      </w:pPr>
      <w:r w:rsidRPr="00A923BA">
        <w:t>HPE Synergy is the ideal architectural and management solution that addresses both traditional business applications and the emerging idea economy applications for current IT environments. HPE Synergy is the first platform built from the ground up for Composable Infrastructure that empowers IT organizations to create and deliver new value instantly and continuously. It uses a single management interface and Unified API to reduce operational complexity for traditional workloads and to increase operational velocity for the new breed of applications and services.</w:t>
      </w:r>
    </w:p>
    <w:p w14:paraId="4DEE64CD" w14:textId="77777777" w:rsidR="00D24A4B" w:rsidRPr="00A923BA" w:rsidRDefault="00D24A4B" w:rsidP="00D24A4B">
      <w:pPr>
        <w:pStyle w:val="BodyText"/>
      </w:pPr>
      <w:r w:rsidRPr="00A923BA">
        <w:t>The HPE Synergy provides powerful incentives to transition from the HPE BladeSystem c-Class portfolio to HPE Synergy:</w:t>
      </w:r>
    </w:p>
    <w:p w14:paraId="4D9DFB97" w14:textId="77777777" w:rsidR="00D24A4B" w:rsidRPr="00A923BA" w:rsidRDefault="00D24A4B" w:rsidP="00D24A4B">
      <w:pPr>
        <w:pStyle w:val="Bullet1Double"/>
        <w:numPr>
          <w:ilvl w:val="0"/>
          <w:numId w:val="9"/>
        </w:numPr>
        <w:tabs>
          <w:tab w:val="clear" w:pos="0"/>
        </w:tabs>
        <w:ind w:left="360" w:hanging="360"/>
      </w:pPr>
      <w:r w:rsidRPr="00A923BA">
        <w:t>One infrastructure – Runs any workload with more fluid pools of compute, storage, and fabric</w:t>
      </w:r>
    </w:p>
    <w:p w14:paraId="40C9B802" w14:textId="77777777" w:rsidR="00D24A4B" w:rsidRPr="00A923BA" w:rsidRDefault="00D24A4B" w:rsidP="00D24A4B">
      <w:pPr>
        <w:pStyle w:val="Bullet1Double"/>
        <w:numPr>
          <w:ilvl w:val="0"/>
          <w:numId w:val="9"/>
        </w:numPr>
        <w:tabs>
          <w:tab w:val="clear" w:pos="0"/>
        </w:tabs>
        <w:ind w:left="360" w:hanging="360"/>
      </w:pPr>
      <w:r w:rsidRPr="00A923BA">
        <w:t>Simpler operations – Advanced software-defined intelligence reduces operational complexity</w:t>
      </w:r>
    </w:p>
    <w:p w14:paraId="15A4EAA3" w14:textId="77777777" w:rsidR="00D24A4B" w:rsidRPr="00A923BA" w:rsidRDefault="00D24A4B" w:rsidP="00D24A4B">
      <w:pPr>
        <w:pStyle w:val="Bullet1Double"/>
        <w:numPr>
          <w:ilvl w:val="0"/>
          <w:numId w:val="9"/>
        </w:numPr>
        <w:tabs>
          <w:tab w:val="clear" w:pos="0"/>
        </w:tabs>
        <w:ind w:left="360" w:hanging="360"/>
      </w:pPr>
      <w:r w:rsidRPr="00A923BA">
        <w:t>Superior economics – Lower total cost of ownership through capital expenditure and operating expense savings</w:t>
      </w:r>
    </w:p>
    <w:p w14:paraId="72CA34BF" w14:textId="77777777" w:rsidR="00D24A4B" w:rsidRPr="00A923BA" w:rsidRDefault="00D24A4B" w:rsidP="00D24A4B">
      <w:pPr>
        <w:pStyle w:val="Bullet1Double"/>
        <w:numPr>
          <w:ilvl w:val="0"/>
          <w:numId w:val="9"/>
        </w:numPr>
        <w:tabs>
          <w:tab w:val="clear" w:pos="0"/>
        </w:tabs>
        <w:ind w:left="360" w:hanging="360"/>
      </w:pPr>
      <w:r w:rsidRPr="00A923BA">
        <w:t>Designed for the future – New infrastructure architecture, delivering benefits now and in the future</w:t>
      </w:r>
    </w:p>
    <w:p w14:paraId="525672CE" w14:textId="77777777" w:rsidR="00D24A4B" w:rsidRPr="00A923BA" w:rsidRDefault="00D24A4B" w:rsidP="00D24A4B">
      <w:pPr>
        <w:pStyle w:val="BodyText"/>
      </w:pPr>
      <w:r w:rsidRPr="00A923BA">
        <w:t>HPE Synergy is also extendable with direct-attached or fabric-attached HPE 3PAR storage as part of the resource pools. Customers can take full advantage of all flash SAN configurations using 3PAR all-flash arrays connected via a variety of Fiber Channel options. Although attached storage is not included in this package, you can choose from one of the HPE GreenLake Flex Capacity Standard Packages available for HPE 3PAR storage.</w:t>
      </w:r>
    </w:p>
    <w:p w14:paraId="597F2692" w14:textId="77777777" w:rsidR="00D24A4B" w:rsidRPr="00A923BA" w:rsidRDefault="00D24A4B" w:rsidP="00D24A4B">
      <w:pPr>
        <w:pStyle w:val="BodyText"/>
      </w:pPr>
      <w:r w:rsidRPr="00A923BA">
        <w:t>Enjoy the simplicity, security, and control of elastic IT with financial flexibility – on-premises and on your terms. Building on the leadership and success of consuming infrastructure with HPE GreenLake Flex Capacity, HPE now has a suite of complete solutions designed, implemented, and operated for you. Delivered by HPE Pointnext, HPE GreenLake really is the best of both worlds. HPE does the IT heavy lifting, and you get a simple, pay-per-use environment, maintaining full control of your apps and data in your own environment with</w:t>
      </w:r>
      <w:r>
        <w:t>:</w:t>
      </w:r>
    </w:p>
    <w:p w14:paraId="7DF791CB" w14:textId="77777777" w:rsidR="00D24A4B" w:rsidRPr="00A923BA" w:rsidRDefault="00D24A4B" w:rsidP="00D24A4B">
      <w:pPr>
        <w:pStyle w:val="Bullet1Double"/>
        <w:numPr>
          <w:ilvl w:val="0"/>
          <w:numId w:val="9"/>
        </w:numPr>
        <w:tabs>
          <w:tab w:val="clear" w:pos="0"/>
        </w:tabs>
        <w:ind w:left="360" w:hanging="360"/>
      </w:pPr>
      <w:r w:rsidRPr="00A923BA">
        <w:t>Rapid onboarding</w:t>
      </w:r>
    </w:p>
    <w:p w14:paraId="1DA10206" w14:textId="77777777" w:rsidR="00D24A4B" w:rsidRPr="00A923BA" w:rsidRDefault="00D24A4B" w:rsidP="00D24A4B">
      <w:pPr>
        <w:pStyle w:val="Bullet1Double"/>
        <w:numPr>
          <w:ilvl w:val="0"/>
          <w:numId w:val="9"/>
        </w:numPr>
        <w:tabs>
          <w:tab w:val="clear" w:pos="0"/>
        </w:tabs>
        <w:ind w:left="360" w:hanging="360"/>
      </w:pPr>
      <w:r w:rsidRPr="00A923BA">
        <w:t>No capital outlay</w:t>
      </w:r>
    </w:p>
    <w:p w14:paraId="44D75B99" w14:textId="77777777" w:rsidR="00D24A4B" w:rsidRPr="00A923BA" w:rsidRDefault="00D24A4B" w:rsidP="00D24A4B">
      <w:pPr>
        <w:pStyle w:val="Bullet1Double"/>
        <w:numPr>
          <w:ilvl w:val="0"/>
          <w:numId w:val="9"/>
        </w:numPr>
        <w:tabs>
          <w:tab w:val="clear" w:pos="0"/>
        </w:tabs>
        <w:ind w:left="360" w:hanging="360"/>
      </w:pPr>
      <w:r w:rsidRPr="00A923BA">
        <w:lastRenderedPageBreak/>
        <w:t>The solution designed and integrated</w:t>
      </w:r>
    </w:p>
    <w:p w14:paraId="14E1D7FF" w14:textId="77777777" w:rsidR="00D24A4B" w:rsidRPr="00A923BA" w:rsidRDefault="00D24A4B" w:rsidP="00D24A4B">
      <w:pPr>
        <w:pStyle w:val="Bullet1Double"/>
        <w:numPr>
          <w:ilvl w:val="0"/>
          <w:numId w:val="9"/>
        </w:numPr>
        <w:tabs>
          <w:tab w:val="clear" w:pos="0"/>
        </w:tabs>
        <w:ind w:left="360" w:hanging="360"/>
      </w:pPr>
      <w:r w:rsidRPr="00A923BA">
        <w:t>Elastic IT that evolves ahead of your needs</w:t>
      </w:r>
    </w:p>
    <w:p w14:paraId="37281C31" w14:textId="77777777" w:rsidR="00D24A4B" w:rsidRPr="00A923BA" w:rsidRDefault="00D24A4B" w:rsidP="00D24A4B">
      <w:pPr>
        <w:pStyle w:val="BodyText"/>
      </w:pPr>
      <w:r w:rsidRPr="006E4625">
        <w:t xml:space="preserve">The HPE GreenLake Flex Capacity Standard Package for HPE Synergy 480 Compute Modules makes the acquisition and implementation of this composable infrastructure even simpler. Using HPE Synergy 480 Compute Modules in our HPE GreenLake package delivers consumption-based economics and scalability within the boundaries of HPE Synergy. The HPE GreenLake Flex Capacity standard package provides active capacity management, variable monthly </w:t>
      </w:r>
      <w:r>
        <w:t>payments based on metered usage</w:t>
      </w:r>
      <w:r w:rsidRPr="006E4625">
        <w:t>, and services to make Hybrid IT simpler - providing a new and better way of acquiring and consuming IT.</w:t>
      </w:r>
    </w:p>
    <w:p w14:paraId="18CE5361" w14:textId="77777777" w:rsidR="00D24A4B" w:rsidRPr="00A923BA" w:rsidRDefault="00D24A4B" w:rsidP="00D24A4B">
      <w:pPr>
        <w:pStyle w:val="BodyText"/>
      </w:pPr>
      <w:r w:rsidRPr="00A923BA">
        <w:t>Using HPE GreenLake Flex Capacity Standard Package with HPE Synergy 480 Compute Modules, you can have:</w:t>
      </w:r>
    </w:p>
    <w:p w14:paraId="3E615FF8" w14:textId="77777777" w:rsidR="00D24A4B" w:rsidRPr="00A923BA" w:rsidRDefault="00D24A4B" w:rsidP="00D24A4B">
      <w:pPr>
        <w:pStyle w:val="Bullet1Double"/>
        <w:numPr>
          <w:ilvl w:val="0"/>
          <w:numId w:val="9"/>
        </w:numPr>
        <w:tabs>
          <w:tab w:val="clear" w:pos="0"/>
        </w:tabs>
        <w:ind w:left="360" w:hanging="360"/>
      </w:pPr>
      <w:r w:rsidRPr="00A923BA">
        <w:t>Pay per use for Hybrid IT – the cost for your IT usage is based on actual metered consumption of HPE Synergy on-premises</w:t>
      </w:r>
    </w:p>
    <w:p w14:paraId="38AB7B9F" w14:textId="77777777" w:rsidR="00D24A4B" w:rsidRPr="00A923BA" w:rsidRDefault="00D24A4B" w:rsidP="00D24A4B">
      <w:pPr>
        <w:pStyle w:val="Bullet1Double"/>
        <w:numPr>
          <w:ilvl w:val="0"/>
          <w:numId w:val="9"/>
        </w:numPr>
        <w:tabs>
          <w:tab w:val="clear" w:pos="0"/>
        </w:tabs>
        <w:ind w:left="360" w:hanging="360"/>
      </w:pPr>
      <w:r w:rsidRPr="00A923BA">
        <w:t>A single contract and a single monthly invoice that combines the usage from on-premises IT infrastructure resources installed in your data center</w:t>
      </w:r>
    </w:p>
    <w:p w14:paraId="25B24407" w14:textId="77777777" w:rsidR="00D24A4B" w:rsidRPr="00A923BA" w:rsidRDefault="00D24A4B" w:rsidP="00D24A4B">
      <w:pPr>
        <w:pStyle w:val="Bullet1Double"/>
        <w:numPr>
          <w:ilvl w:val="0"/>
          <w:numId w:val="9"/>
        </w:numPr>
        <w:tabs>
          <w:tab w:val="clear" w:pos="0"/>
        </w:tabs>
        <w:ind w:left="360" w:hanging="360"/>
      </w:pPr>
      <w:r w:rsidRPr="00A923BA">
        <w:t>A single usage portal and reporting of the services you use and the capacity you consume so that you can understand usage and plan for the future</w:t>
      </w:r>
    </w:p>
    <w:p w14:paraId="42E87C09" w14:textId="77777777" w:rsidR="00D24A4B" w:rsidRPr="00A923BA" w:rsidRDefault="00D24A4B" w:rsidP="00D24A4B">
      <w:pPr>
        <w:pStyle w:val="Bullet1Double"/>
        <w:numPr>
          <w:ilvl w:val="0"/>
          <w:numId w:val="9"/>
        </w:numPr>
        <w:tabs>
          <w:tab w:val="clear" w:pos="0"/>
        </w:tabs>
        <w:ind w:left="360" w:hanging="360"/>
      </w:pPr>
      <w:r w:rsidRPr="00A923BA">
        <w:t>A single enterprise-grade support experience with HPE Datacenter Care; HPE Datacenter Care is the basis for GreenLake Flex Capacity, providing support and guidance for your IT environment</w:t>
      </w:r>
    </w:p>
    <w:p w14:paraId="6BEB47A6" w14:textId="77777777" w:rsidR="00D24A4B" w:rsidRDefault="00D24A4B" w:rsidP="00D24A4B">
      <w:pPr>
        <w:pStyle w:val="Bullet1Double"/>
        <w:numPr>
          <w:ilvl w:val="0"/>
          <w:numId w:val="9"/>
        </w:numPr>
        <w:tabs>
          <w:tab w:val="clear" w:pos="0"/>
        </w:tabs>
        <w:ind w:left="360" w:hanging="360"/>
      </w:pPr>
      <w:r w:rsidRPr="00A923BA">
        <w:t>Predictable price per month as consumption increases</w:t>
      </w:r>
    </w:p>
    <w:p w14:paraId="3C28981A" w14:textId="77777777" w:rsidR="00D24A4B" w:rsidRDefault="00D24A4B" w:rsidP="00D24A4B">
      <w:pPr>
        <w:pStyle w:val="Heading30"/>
      </w:pPr>
      <w:bookmarkStart w:id="8" w:name="_Toc518548581"/>
      <w:r>
        <w:t xml:space="preserve">HPE GreenLake Flex Capacity Package </w:t>
      </w:r>
      <w:r w:rsidRPr="00B04D0D">
        <w:t>HPE 3PAR StoreServ 8440</w:t>
      </w:r>
      <w:r>
        <w:t xml:space="preserve"> (IaaS)</w:t>
      </w:r>
      <w:bookmarkEnd w:id="8"/>
    </w:p>
    <w:p w14:paraId="7C5FED64" w14:textId="77777777" w:rsidR="00D24A4B" w:rsidRPr="00A923BA" w:rsidRDefault="00D24A4B" w:rsidP="00D24A4B">
      <w:pPr>
        <w:pStyle w:val="BodyText"/>
      </w:pPr>
      <w:r w:rsidRPr="00A923BA">
        <w:t>HPE 3PAR StoreServ 8000 Storage delivers the performance advantages of a purpose-built, flash-optimized architecture without compromising resiliency, data services, or data mobility. Unlike other purpose-built flash arrays, 3PAR StoreServ 8000 doesn’t require you to introduce an entirely new architecture to achieve flash-optimized performance. With unmatched versatility, performance, and density, HPE 3PAR StoreServ 8000 Storage has you covered with unified storage of block &amp; file protocols, application managed data protection and simplified fabric zoning along with SAN diagnostics.</w:t>
      </w:r>
    </w:p>
    <w:p w14:paraId="07230E44" w14:textId="77777777" w:rsidR="00D24A4B" w:rsidRPr="00A923BA" w:rsidRDefault="00D24A4B" w:rsidP="00D24A4B">
      <w:pPr>
        <w:pStyle w:val="BodyText"/>
      </w:pPr>
      <w:r w:rsidRPr="00A923BA">
        <w:t>HPE 3PAR StoreServ 8440 technical overview</w:t>
      </w:r>
    </w:p>
    <w:p w14:paraId="66E700C5" w14:textId="77777777" w:rsidR="00D24A4B" w:rsidRPr="00A923BA" w:rsidRDefault="00D24A4B" w:rsidP="00D24A4B">
      <w:pPr>
        <w:pStyle w:val="Bullet1Double"/>
        <w:numPr>
          <w:ilvl w:val="0"/>
          <w:numId w:val="9"/>
        </w:numPr>
        <w:tabs>
          <w:tab w:val="clear" w:pos="0"/>
        </w:tabs>
        <w:ind w:left="360" w:hanging="360"/>
      </w:pPr>
      <w:r w:rsidRPr="00A923BA">
        <w:t>Max Controller Nodes: 4</w:t>
      </w:r>
    </w:p>
    <w:p w14:paraId="47157D01" w14:textId="77777777" w:rsidR="00D24A4B" w:rsidRPr="00A923BA" w:rsidRDefault="00D24A4B" w:rsidP="00D24A4B">
      <w:pPr>
        <w:pStyle w:val="Bullet1Double"/>
        <w:numPr>
          <w:ilvl w:val="0"/>
          <w:numId w:val="9"/>
        </w:numPr>
        <w:tabs>
          <w:tab w:val="clear" w:pos="0"/>
        </w:tabs>
        <w:ind w:left="360" w:hanging="360"/>
      </w:pPr>
      <w:r w:rsidRPr="00A923BA">
        <w:t>Max Host Ports: 24</w:t>
      </w:r>
    </w:p>
    <w:p w14:paraId="1E69575F" w14:textId="77777777" w:rsidR="00D24A4B" w:rsidRPr="00A923BA" w:rsidRDefault="00D24A4B" w:rsidP="00D24A4B">
      <w:pPr>
        <w:pStyle w:val="Bullet1Double"/>
        <w:numPr>
          <w:ilvl w:val="0"/>
          <w:numId w:val="9"/>
        </w:numPr>
        <w:tabs>
          <w:tab w:val="clear" w:pos="0"/>
        </w:tabs>
        <w:ind w:left="360" w:hanging="360"/>
      </w:pPr>
      <w:r w:rsidRPr="00A923BA">
        <w:t>Fiber Channel: 4–24</w:t>
      </w:r>
    </w:p>
    <w:p w14:paraId="4A49A057" w14:textId="77777777" w:rsidR="00D24A4B" w:rsidRPr="00A923BA" w:rsidRDefault="00D24A4B" w:rsidP="00D24A4B">
      <w:pPr>
        <w:pStyle w:val="Bullet1Double"/>
        <w:numPr>
          <w:ilvl w:val="0"/>
          <w:numId w:val="9"/>
        </w:numPr>
        <w:tabs>
          <w:tab w:val="clear" w:pos="0"/>
        </w:tabs>
        <w:ind w:left="360" w:hanging="360"/>
      </w:pPr>
      <w:r w:rsidRPr="00A923BA">
        <w:t>Max Raw Capacity: 4000 TiB</w:t>
      </w:r>
    </w:p>
    <w:p w14:paraId="059918BA" w14:textId="77777777" w:rsidR="00D24A4B" w:rsidRPr="00A923BA" w:rsidRDefault="00D24A4B" w:rsidP="00D24A4B">
      <w:pPr>
        <w:pStyle w:val="BodyText"/>
      </w:pPr>
      <w:r w:rsidRPr="00A923BA">
        <w:t>Enjoy the simplicity, security, and control of elastic IT with financial flexibility – on-premises and on your terms. Building on the leadership and success of consuming infrastructure with HPE GreenLake Flex Capacity, HPE now has a suite of complete solutions designed, implemented, and operated for you. Delivered by HPE Pointnext, HPE GreenLake really is the best of both worlds. HPE does the IT heavy lifting, and you get a simple, pay-per-use environment, maintaining full control of your apps and data in your own environment with</w:t>
      </w:r>
      <w:r>
        <w:t>:</w:t>
      </w:r>
    </w:p>
    <w:p w14:paraId="5D56595B" w14:textId="77777777" w:rsidR="00D24A4B" w:rsidRPr="00A923BA" w:rsidRDefault="00D24A4B" w:rsidP="00D24A4B">
      <w:pPr>
        <w:pStyle w:val="Bullet1Double"/>
        <w:numPr>
          <w:ilvl w:val="0"/>
          <w:numId w:val="9"/>
        </w:numPr>
        <w:tabs>
          <w:tab w:val="clear" w:pos="0"/>
        </w:tabs>
        <w:ind w:left="360" w:hanging="360"/>
      </w:pPr>
      <w:r w:rsidRPr="00A923BA">
        <w:t>Rapid onboarding</w:t>
      </w:r>
    </w:p>
    <w:p w14:paraId="54AEE454" w14:textId="77777777" w:rsidR="00D24A4B" w:rsidRPr="00A923BA" w:rsidRDefault="00D24A4B" w:rsidP="00D24A4B">
      <w:pPr>
        <w:pStyle w:val="Bullet1Double"/>
        <w:numPr>
          <w:ilvl w:val="0"/>
          <w:numId w:val="9"/>
        </w:numPr>
        <w:tabs>
          <w:tab w:val="clear" w:pos="0"/>
        </w:tabs>
        <w:ind w:left="360" w:hanging="360"/>
      </w:pPr>
      <w:r w:rsidRPr="00A923BA">
        <w:lastRenderedPageBreak/>
        <w:t>No capital outlay</w:t>
      </w:r>
    </w:p>
    <w:p w14:paraId="547A5669" w14:textId="77777777" w:rsidR="00D24A4B" w:rsidRPr="00A923BA" w:rsidRDefault="00D24A4B" w:rsidP="00D24A4B">
      <w:pPr>
        <w:pStyle w:val="Bullet1Double"/>
        <w:numPr>
          <w:ilvl w:val="0"/>
          <w:numId w:val="9"/>
        </w:numPr>
        <w:tabs>
          <w:tab w:val="clear" w:pos="0"/>
        </w:tabs>
        <w:ind w:left="360" w:hanging="360"/>
      </w:pPr>
      <w:r w:rsidRPr="00A923BA">
        <w:t>The solution designed and integrated</w:t>
      </w:r>
    </w:p>
    <w:p w14:paraId="7451E98F" w14:textId="77777777" w:rsidR="00D24A4B" w:rsidRPr="00A923BA" w:rsidRDefault="00D24A4B" w:rsidP="00D24A4B">
      <w:pPr>
        <w:pStyle w:val="Bullet1Double"/>
        <w:numPr>
          <w:ilvl w:val="0"/>
          <w:numId w:val="9"/>
        </w:numPr>
        <w:tabs>
          <w:tab w:val="clear" w:pos="0"/>
        </w:tabs>
        <w:ind w:left="360" w:hanging="360"/>
      </w:pPr>
      <w:r w:rsidRPr="00A923BA">
        <w:t>Elastic IT that evolves ahead of your needs</w:t>
      </w:r>
    </w:p>
    <w:p w14:paraId="057A16FA" w14:textId="77777777" w:rsidR="00D24A4B" w:rsidRPr="00A923BA" w:rsidRDefault="00D24A4B" w:rsidP="00D24A4B">
      <w:pPr>
        <w:pStyle w:val="BodyText"/>
      </w:pPr>
      <w:r w:rsidRPr="00A923BA">
        <w:t>The HPE GreenLake Flex Capacity package for HPE 3PAR StoreServ 8440 makes the acquisition and implementation of a blade infrastructure even simpler. Using HPE 3PAR StoreServ 8440 with a single solid state disk tier in our HPE GreenLake package delivers consumption-based economics and scalability within the boundaries of HPE 3PAR StoreServ array. HPE GreenLake Flex Capacity package provides active capacity management, variable monthly payments based on metered usage, and services to make Hybrid IT simpler - providing a new and better way of acquiring and consuming IT.</w:t>
      </w:r>
    </w:p>
    <w:p w14:paraId="37D02A65" w14:textId="77777777" w:rsidR="00D24A4B" w:rsidRPr="00A923BA" w:rsidRDefault="00D24A4B" w:rsidP="00D24A4B">
      <w:pPr>
        <w:pStyle w:val="BodyText"/>
      </w:pPr>
      <w:r w:rsidRPr="00A923BA">
        <w:t>Using HPE GreenLake Flex Capacity package with HPE 3PAR StoreServ 8440, you can have:</w:t>
      </w:r>
    </w:p>
    <w:p w14:paraId="47F739A9" w14:textId="77777777" w:rsidR="00D24A4B" w:rsidRPr="00A923BA" w:rsidRDefault="00D24A4B" w:rsidP="00D24A4B">
      <w:pPr>
        <w:pStyle w:val="Bullet1Double"/>
        <w:numPr>
          <w:ilvl w:val="0"/>
          <w:numId w:val="9"/>
        </w:numPr>
        <w:tabs>
          <w:tab w:val="clear" w:pos="0"/>
        </w:tabs>
        <w:ind w:left="360" w:hanging="360"/>
      </w:pPr>
      <w:r w:rsidRPr="00A923BA">
        <w:t>Pay per use for storage – the cost for your IT usage is based on actual metered consumption of on-premises HPE storage in formatted raw GB</w:t>
      </w:r>
    </w:p>
    <w:p w14:paraId="726BE17B" w14:textId="77777777" w:rsidR="00D24A4B" w:rsidRPr="00A923BA" w:rsidRDefault="00D24A4B" w:rsidP="00D24A4B">
      <w:pPr>
        <w:pStyle w:val="Bullet1Double"/>
        <w:numPr>
          <w:ilvl w:val="0"/>
          <w:numId w:val="9"/>
        </w:numPr>
        <w:tabs>
          <w:tab w:val="clear" w:pos="0"/>
        </w:tabs>
        <w:ind w:left="360" w:hanging="360"/>
      </w:pPr>
      <w:r w:rsidRPr="00A923BA">
        <w:t>A single contract and a single monthly invoice that combines the usage from on-premises IT infrastructure resources installed in your data center</w:t>
      </w:r>
    </w:p>
    <w:p w14:paraId="2FB62AC3" w14:textId="77777777" w:rsidR="00D24A4B" w:rsidRPr="00A923BA" w:rsidRDefault="00D24A4B" w:rsidP="00D24A4B">
      <w:pPr>
        <w:pStyle w:val="Bullet1Double"/>
        <w:numPr>
          <w:ilvl w:val="0"/>
          <w:numId w:val="9"/>
        </w:numPr>
        <w:tabs>
          <w:tab w:val="clear" w:pos="0"/>
        </w:tabs>
        <w:ind w:left="360" w:hanging="360"/>
      </w:pPr>
      <w:r w:rsidRPr="00A923BA">
        <w:t>A single usage portal and reporting of the services you use and the capacity you consume so that you can understand usage and plan for the future</w:t>
      </w:r>
    </w:p>
    <w:p w14:paraId="7A935713" w14:textId="77777777" w:rsidR="00D24A4B" w:rsidRPr="00A923BA" w:rsidRDefault="00D24A4B" w:rsidP="00D24A4B">
      <w:pPr>
        <w:pStyle w:val="Bullet1Double"/>
        <w:numPr>
          <w:ilvl w:val="0"/>
          <w:numId w:val="9"/>
        </w:numPr>
        <w:tabs>
          <w:tab w:val="clear" w:pos="0"/>
        </w:tabs>
        <w:ind w:left="360" w:hanging="360"/>
      </w:pPr>
      <w:r w:rsidRPr="00A923BA">
        <w:t>A single enterprise-grade support experience with HPE Datacenter Care; HPE Datacenter Care is the basis for GreenLake Flex Capacity, providing support and guidance for your IT environment</w:t>
      </w:r>
    </w:p>
    <w:p w14:paraId="018064C0" w14:textId="77777777" w:rsidR="00D24A4B" w:rsidRDefault="00D24A4B" w:rsidP="00D24A4B">
      <w:pPr>
        <w:pStyle w:val="Bullet1Double"/>
        <w:numPr>
          <w:ilvl w:val="0"/>
          <w:numId w:val="9"/>
        </w:numPr>
        <w:tabs>
          <w:tab w:val="clear" w:pos="0"/>
        </w:tabs>
        <w:ind w:left="360" w:hanging="360"/>
      </w:pPr>
      <w:r w:rsidRPr="00A923BA">
        <w:t>Predictable price per month as consumption increases</w:t>
      </w:r>
    </w:p>
    <w:p w14:paraId="35A5BC25" w14:textId="77777777" w:rsidR="00D24A4B" w:rsidRDefault="00D24A4B" w:rsidP="00D24A4B">
      <w:pPr>
        <w:pStyle w:val="Heading30"/>
      </w:pPr>
      <w:bookmarkStart w:id="9" w:name="_Toc518548582"/>
      <w:r w:rsidRPr="00A923BA">
        <w:t>HPE GreenLake Flex Capacity Package</w:t>
      </w:r>
      <w:r>
        <w:t xml:space="preserve"> </w:t>
      </w:r>
      <w:r w:rsidRPr="00A923BA">
        <w:t>HPE 3PAR StoreServ 9450</w:t>
      </w:r>
      <w:r>
        <w:t xml:space="preserve"> (IaaS)</w:t>
      </w:r>
      <w:bookmarkEnd w:id="9"/>
      <w:r>
        <w:t xml:space="preserve"> </w:t>
      </w:r>
    </w:p>
    <w:p w14:paraId="322F993B" w14:textId="77777777" w:rsidR="00D24A4B" w:rsidRPr="000B1082" w:rsidRDefault="00D24A4B" w:rsidP="00D24A4B">
      <w:pPr>
        <w:pStyle w:val="BodyText"/>
      </w:pPr>
      <w:r w:rsidRPr="000B1082">
        <w:t>The HPE 3PAR StoreServ family of flash-optimized data storage systems modernizes your data center to effortlessly handle unpredictable workloads, and HPE has the only storage smart enough to guarantee 99.9999% data availability. Get rapid and automated provisioning, multi-tenant design, hardware-accelerated deduplication and compression, and sub-1ms latency—all in a tier-1 storage architecture that starts small and scales big.</w:t>
      </w:r>
    </w:p>
    <w:p w14:paraId="67163DCE" w14:textId="77777777" w:rsidR="00D24A4B" w:rsidRPr="000B1082" w:rsidRDefault="00D24A4B" w:rsidP="00D24A4B">
      <w:pPr>
        <w:pStyle w:val="BodyText"/>
      </w:pPr>
      <w:r w:rsidRPr="000B1082">
        <w:t>HPE 3PAR StoreServ 9450 technical overview</w:t>
      </w:r>
    </w:p>
    <w:p w14:paraId="5B4DEBB7" w14:textId="77777777" w:rsidR="00D24A4B" w:rsidRPr="000B1082" w:rsidRDefault="00D24A4B" w:rsidP="00D24A4B">
      <w:pPr>
        <w:pStyle w:val="Bullet1Double"/>
        <w:numPr>
          <w:ilvl w:val="0"/>
          <w:numId w:val="9"/>
        </w:numPr>
        <w:tabs>
          <w:tab w:val="clear" w:pos="0"/>
        </w:tabs>
        <w:ind w:left="360" w:hanging="360"/>
      </w:pPr>
      <w:r w:rsidRPr="000B1082">
        <w:t>Max Controller Nodes: 4</w:t>
      </w:r>
    </w:p>
    <w:p w14:paraId="5758AA30" w14:textId="77777777" w:rsidR="00D24A4B" w:rsidRPr="000B1082" w:rsidRDefault="00D24A4B" w:rsidP="00D24A4B">
      <w:pPr>
        <w:pStyle w:val="Bullet1Double"/>
        <w:numPr>
          <w:ilvl w:val="0"/>
          <w:numId w:val="9"/>
        </w:numPr>
        <w:tabs>
          <w:tab w:val="clear" w:pos="0"/>
        </w:tabs>
        <w:ind w:left="360" w:hanging="360"/>
      </w:pPr>
      <w:r w:rsidRPr="000B1082">
        <w:t>Max Host Ports: 80</w:t>
      </w:r>
    </w:p>
    <w:p w14:paraId="7F85E40D" w14:textId="77777777" w:rsidR="00D24A4B" w:rsidRPr="000B1082" w:rsidRDefault="00D24A4B" w:rsidP="00D24A4B">
      <w:pPr>
        <w:pStyle w:val="Bullet1Double"/>
        <w:numPr>
          <w:ilvl w:val="0"/>
          <w:numId w:val="9"/>
        </w:numPr>
        <w:tabs>
          <w:tab w:val="clear" w:pos="0"/>
        </w:tabs>
        <w:ind w:left="360" w:hanging="360"/>
      </w:pPr>
      <w:r w:rsidRPr="000B1082">
        <w:t>Fiber Channel: 0-80</w:t>
      </w:r>
    </w:p>
    <w:p w14:paraId="4E8AC726" w14:textId="77777777" w:rsidR="00D24A4B" w:rsidRPr="000B1082" w:rsidRDefault="00D24A4B" w:rsidP="00D24A4B">
      <w:pPr>
        <w:pStyle w:val="Bullet1Double"/>
        <w:numPr>
          <w:ilvl w:val="0"/>
          <w:numId w:val="9"/>
        </w:numPr>
        <w:tabs>
          <w:tab w:val="clear" w:pos="0"/>
        </w:tabs>
        <w:ind w:left="360" w:hanging="360"/>
      </w:pPr>
      <w:r w:rsidRPr="000B1082">
        <w:t>Max Raw Capacity: 6000 TiB</w:t>
      </w:r>
    </w:p>
    <w:p w14:paraId="3D06E388" w14:textId="77777777" w:rsidR="00D24A4B" w:rsidRPr="000B1082" w:rsidRDefault="00D24A4B" w:rsidP="00D24A4B">
      <w:pPr>
        <w:pStyle w:val="BodyText"/>
      </w:pPr>
      <w:r w:rsidRPr="000B1082">
        <w:t>Enjoy the simplicity, security, and control of elastic IT with financial flexibility – on-premises and on your terms. Building on the leadership and success of consuming infrastructure with HPE GreenLake Flex Capacity, HPE now has a suite of complete solutions designed, implemented, and operated for you. Delivered by HPE Pointnext, HPE GreenLake really is the best of both worlds. HPE does the IT heavy lifting, and you get a simple, pay-per-use environment, maintaining full control of your apps and data in your own environment with</w:t>
      </w:r>
      <w:r>
        <w:t>:</w:t>
      </w:r>
    </w:p>
    <w:p w14:paraId="4C53B35E" w14:textId="77777777" w:rsidR="00D24A4B" w:rsidRPr="000B1082" w:rsidRDefault="00D24A4B" w:rsidP="00D24A4B">
      <w:pPr>
        <w:pStyle w:val="Bullet1Double"/>
        <w:numPr>
          <w:ilvl w:val="0"/>
          <w:numId w:val="9"/>
        </w:numPr>
        <w:tabs>
          <w:tab w:val="clear" w:pos="0"/>
        </w:tabs>
        <w:ind w:left="360" w:hanging="360"/>
      </w:pPr>
      <w:r w:rsidRPr="000B1082">
        <w:t>Rapid onboarding</w:t>
      </w:r>
    </w:p>
    <w:p w14:paraId="42150A9E" w14:textId="77777777" w:rsidR="00D24A4B" w:rsidRPr="000B1082" w:rsidRDefault="00D24A4B" w:rsidP="00D24A4B">
      <w:pPr>
        <w:pStyle w:val="Bullet1Double"/>
        <w:numPr>
          <w:ilvl w:val="0"/>
          <w:numId w:val="9"/>
        </w:numPr>
        <w:tabs>
          <w:tab w:val="clear" w:pos="0"/>
        </w:tabs>
        <w:ind w:left="360" w:hanging="360"/>
      </w:pPr>
      <w:r w:rsidRPr="000B1082">
        <w:lastRenderedPageBreak/>
        <w:t>No capital outlay</w:t>
      </w:r>
    </w:p>
    <w:p w14:paraId="3C4537B3" w14:textId="77777777" w:rsidR="00D24A4B" w:rsidRPr="000B1082" w:rsidRDefault="00D24A4B" w:rsidP="00D24A4B">
      <w:pPr>
        <w:pStyle w:val="Bullet1Double"/>
        <w:numPr>
          <w:ilvl w:val="0"/>
          <w:numId w:val="9"/>
        </w:numPr>
        <w:tabs>
          <w:tab w:val="clear" w:pos="0"/>
        </w:tabs>
        <w:ind w:left="360" w:hanging="360"/>
      </w:pPr>
      <w:r w:rsidRPr="000B1082">
        <w:t>The solution designed and integrated</w:t>
      </w:r>
    </w:p>
    <w:p w14:paraId="4676A1DF" w14:textId="77777777" w:rsidR="00D24A4B" w:rsidRPr="000B1082" w:rsidRDefault="00D24A4B" w:rsidP="00D24A4B">
      <w:pPr>
        <w:pStyle w:val="Bullet1Double"/>
        <w:numPr>
          <w:ilvl w:val="0"/>
          <w:numId w:val="9"/>
        </w:numPr>
        <w:tabs>
          <w:tab w:val="clear" w:pos="0"/>
        </w:tabs>
        <w:ind w:left="360" w:hanging="360"/>
      </w:pPr>
      <w:r w:rsidRPr="000B1082">
        <w:t>Elastic IT that evolves ahead of your needs</w:t>
      </w:r>
    </w:p>
    <w:p w14:paraId="502CCBAA" w14:textId="77777777" w:rsidR="00D24A4B" w:rsidRPr="000B1082" w:rsidRDefault="00D24A4B" w:rsidP="00D24A4B">
      <w:pPr>
        <w:pStyle w:val="BodyText"/>
      </w:pPr>
      <w:r w:rsidRPr="000B1082">
        <w:t>The HPE GreenLake Flex Capacity package for HPE 3PAR StoreServ 9450 makes the acquisition and implementation of all flash storage even simpler. Using HPE 3PAR StoreServ 9450 in our HPE GreenLake package delivers consumption-based economics and scalability within the boundaries of HPE 3PAR array. HPE GreenLake Flex Capacity package provides active capacity management, variable monthly payments based on metered usage, and services to make Hybrid IT simpler - providing a new and better way of acquiring and consuming IT.</w:t>
      </w:r>
    </w:p>
    <w:p w14:paraId="618E28EC" w14:textId="77777777" w:rsidR="00D24A4B" w:rsidRPr="000B1082" w:rsidRDefault="00D24A4B" w:rsidP="00D24A4B">
      <w:pPr>
        <w:pStyle w:val="Bullet1Double"/>
        <w:numPr>
          <w:ilvl w:val="0"/>
          <w:numId w:val="9"/>
        </w:numPr>
        <w:tabs>
          <w:tab w:val="clear" w:pos="0"/>
        </w:tabs>
        <w:ind w:left="360" w:hanging="360"/>
      </w:pPr>
      <w:r w:rsidRPr="000B1082">
        <w:t>Pay per use for storage – the cost for your IT usage is based on actual metered consumption of on-premises HPE storage in formatted raw GB</w:t>
      </w:r>
    </w:p>
    <w:p w14:paraId="25C4E2B7" w14:textId="77777777" w:rsidR="00D24A4B" w:rsidRPr="000B1082" w:rsidRDefault="00D24A4B" w:rsidP="00D24A4B">
      <w:pPr>
        <w:pStyle w:val="Bullet1Double"/>
        <w:numPr>
          <w:ilvl w:val="0"/>
          <w:numId w:val="9"/>
        </w:numPr>
        <w:tabs>
          <w:tab w:val="clear" w:pos="0"/>
        </w:tabs>
        <w:ind w:left="360" w:hanging="360"/>
      </w:pPr>
      <w:r w:rsidRPr="000B1082">
        <w:t>A single contract and a single monthly invoice that combines the usage from on-premises IT infrastructure resources installed in your data center</w:t>
      </w:r>
    </w:p>
    <w:p w14:paraId="0D3A5F6C" w14:textId="77777777" w:rsidR="00D24A4B" w:rsidRPr="000B1082" w:rsidRDefault="00D24A4B" w:rsidP="00D24A4B">
      <w:pPr>
        <w:pStyle w:val="Bullet1Double"/>
        <w:numPr>
          <w:ilvl w:val="0"/>
          <w:numId w:val="9"/>
        </w:numPr>
        <w:tabs>
          <w:tab w:val="clear" w:pos="0"/>
        </w:tabs>
        <w:ind w:left="360" w:hanging="360"/>
      </w:pPr>
      <w:r w:rsidRPr="000B1082">
        <w:t>A single usage portal and reporting of the services you use and the capacity you consume so that you can understand usage and plan for the future</w:t>
      </w:r>
    </w:p>
    <w:p w14:paraId="136B7D04" w14:textId="77777777" w:rsidR="00D24A4B" w:rsidRPr="000B1082" w:rsidRDefault="00D24A4B" w:rsidP="00D24A4B">
      <w:pPr>
        <w:pStyle w:val="Bullet1Double"/>
        <w:numPr>
          <w:ilvl w:val="0"/>
          <w:numId w:val="9"/>
        </w:numPr>
        <w:tabs>
          <w:tab w:val="clear" w:pos="0"/>
        </w:tabs>
        <w:ind w:left="360" w:hanging="360"/>
      </w:pPr>
      <w:r w:rsidRPr="000B1082">
        <w:t>A single enterprise-grade support experience with HPE Datacenter Care; HPE Datacenter Care is the basis for GreenLake Flex Capacity, providing support and guidance for your IT environment</w:t>
      </w:r>
    </w:p>
    <w:p w14:paraId="1DA7C092" w14:textId="77777777" w:rsidR="00D24A4B" w:rsidRDefault="00D24A4B" w:rsidP="00D24A4B">
      <w:pPr>
        <w:pStyle w:val="Bullet1Double"/>
        <w:numPr>
          <w:ilvl w:val="0"/>
          <w:numId w:val="9"/>
        </w:numPr>
        <w:tabs>
          <w:tab w:val="clear" w:pos="0"/>
        </w:tabs>
        <w:ind w:left="360" w:hanging="360"/>
      </w:pPr>
      <w:r w:rsidRPr="000B1082">
        <w:t>Predictable price per month as consumption increases</w:t>
      </w:r>
    </w:p>
    <w:p w14:paraId="47936AC5" w14:textId="77777777" w:rsidR="00D24A4B" w:rsidRDefault="00D24A4B" w:rsidP="00D24A4B">
      <w:pPr>
        <w:pStyle w:val="Heading30"/>
      </w:pPr>
      <w:bookmarkStart w:id="10" w:name="_Toc518548583"/>
      <w:r w:rsidRPr="000B1082">
        <w:t>HPE GreenLake Flex Capacity Package</w:t>
      </w:r>
      <w:r>
        <w:t xml:space="preserve"> </w:t>
      </w:r>
      <w:r w:rsidRPr="000B1082">
        <w:t>HPE 3PAR StoreServ 8200</w:t>
      </w:r>
      <w:r>
        <w:t xml:space="preserve"> (IaaS)</w:t>
      </w:r>
      <w:bookmarkEnd w:id="10"/>
    </w:p>
    <w:p w14:paraId="7D73D736" w14:textId="77777777" w:rsidR="00D24A4B" w:rsidRPr="000B1082" w:rsidRDefault="00D24A4B" w:rsidP="00D24A4B">
      <w:pPr>
        <w:pStyle w:val="BodyText"/>
      </w:pPr>
      <w:r w:rsidRPr="000B1082">
        <w:t>HPE 3PAR StoreServ 8000 Storage delivers the performance advantages of a purpose-built, flash-optimized architecture without compromising resiliency, data services, or data mobility. Unlike other purpose-built flash arrays, 3PAR StoreServ 8000 doesn’t require you to introduce an entirely new architecture to achieve flash-optimized performance. With unmatched versatility, performance, and density, HPE 3PAR StoreServ 8000 Storage has you covered with unified storage of block &amp; file protocols, application managed data protection and simplified fabric zoning along with SAN diagnostics.</w:t>
      </w:r>
    </w:p>
    <w:p w14:paraId="6014360A" w14:textId="77777777" w:rsidR="00D24A4B" w:rsidRPr="000B1082" w:rsidRDefault="00D24A4B" w:rsidP="00D24A4B">
      <w:pPr>
        <w:pStyle w:val="BodyText"/>
      </w:pPr>
      <w:r w:rsidRPr="000B1082">
        <w:t>HPE 3PAR StoreServ 8200 technical overview</w:t>
      </w:r>
    </w:p>
    <w:p w14:paraId="026A0E8E" w14:textId="77777777" w:rsidR="00D24A4B" w:rsidRPr="000B1082" w:rsidRDefault="00D24A4B" w:rsidP="00D24A4B">
      <w:pPr>
        <w:pStyle w:val="Bullet1Double"/>
        <w:numPr>
          <w:ilvl w:val="0"/>
          <w:numId w:val="9"/>
        </w:numPr>
        <w:tabs>
          <w:tab w:val="clear" w:pos="0"/>
        </w:tabs>
        <w:ind w:left="360" w:hanging="360"/>
      </w:pPr>
      <w:r w:rsidRPr="000B1082">
        <w:t>Max Controller Nodes: 2</w:t>
      </w:r>
    </w:p>
    <w:p w14:paraId="39BD06CC" w14:textId="77777777" w:rsidR="00D24A4B" w:rsidRPr="000B1082" w:rsidRDefault="00D24A4B" w:rsidP="00D24A4B">
      <w:pPr>
        <w:pStyle w:val="Bullet1Double"/>
        <w:numPr>
          <w:ilvl w:val="0"/>
          <w:numId w:val="9"/>
        </w:numPr>
        <w:tabs>
          <w:tab w:val="clear" w:pos="0"/>
        </w:tabs>
        <w:ind w:left="360" w:hanging="360"/>
      </w:pPr>
      <w:r w:rsidRPr="000B1082">
        <w:t>Max Host Ports: 12</w:t>
      </w:r>
    </w:p>
    <w:p w14:paraId="23BA9635" w14:textId="77777777" w:rsidR="00D24A4B" w:rsidRPr="000B1082" w:rsidRDefault="00D24A4B" w:rsidP="00D24A4B">
      <w:pPr>
        <w:pStyle w:val="Bullet1Double"/>
        <w:numPr>
          <w:ilvl w:val="0"/>
          <w:numId w:val="9"/>
        </w:numPr>
        <w:tabs>
          <w:tab w:val="clear" w:pos="0"/>
        </w:tabs>
        <w:ind w:left="360" w:hanging="360"/>
      </w:pPr>
      <w:r w:rsidRPr="000B1082">
        <w:t>Fiber Channel: 4–12</w:t>
      </w:r>
    </w:p>
    <w:p w14:paraId="48212E6B" w14:textId="77777777" w:rsidR="00D24A4B" w:rsidRPr="000B1082" w:rsidRDefault="00D24A4B" w:rsidP="00D24A4B">
      <w:pPr>
        <w:pStyle w:val="Bullet1Double"/>
        <w:numPr>
          <w:ilvl w:val="0"/>
          <w:numId w:val="9"/>
        </w:numPr>
        <w:tabs>
          <w:tab w:val="clear" w:pos="0"/>
        </w:tabs>
        <w:ind w:left="360" w:hanging="360"/>
      </w:pPr>
      <w:r w:rsidRPr="000B1082">
        <w:t>Max Raw Capacity: 838 TiB SSD only</w:t>
      </w:r>
    </w:p>
    <w:p w14:paraId="3BFE9D6E" w14:textId="77777777" w:rsidR="00D24A4B" w:rsidRPr="000B1082" w:rsidRDefault="00D24A4B" w:rsidP="00D24A4B">
      <w:pPr>
        <w:pStyle w:val="BodyText"/>
      </w:pPr>
      <w:r w:rsidRPr="000B1082">
        <w:t>Enjoy the simplicity, security, and control of elastic IT with financial flexibility – on-premises and on your terms. Building on the leadership and success of consuming infrastructure with HPE GreenLake Flex Capacity, HPE now has a suite of complete solutions designed, implemented, and operated for you. Delivered by HPE Pointnext, HPE GreenLake really is the best of both worlds. HPE does the IT heavy lifting, and you get a simple, pay-per-use environment, maintaining full control of your apps and data in your own environment with</w:t>
      </w:r>
      <w:r>
        <w:t>:</w:t>
      </w:r>
    </w:p>
    <w:p w14:paraId="31EA67A5" w14:textId="77777777" w:rsidR="00D24A4B" w:rsidRPr="000B1082" w:rsidRDefault="00D24A4B" w:rsidP="00D24A4B">
      <w:pPr>
        <w:pStyle w:val="Bullet1Double"/>
        <w:numPr>
          <w:ilvl w:val="0"/>
          <w:numId w:val="9"/>
        </w:numPr>
        <w:tabs>
          <w:tab w:val="clear" w:pos="0"/>
        </w:tabs>
        <w:ind w:left="360" w:hanging="360"/>
      </w:pPr>
      <w:r w:rsidRPr="000B1082">
        <w:t>Rapid onboarding</w:t>
      </w:r>
    </w:p>
    <w:p w14:paraId="0896E0E3" w14:textId="77777777" w:rsidR="00D24A4B" w:rsidRPr="000B1082" w:rsidRDefault="00D24A4B" w:rsidP="00D24A4B">
      <w:pPr>
        <w:pStyle w:val="Bullet1Double"/>
        <w:numPr>
          <w:ilvl w:val="0"/>
          <w:numId w:val="9"/>
        </w:numPr>
        <w:tabs>
          <w:tab w:val="clear" w:pos="0"/>
        </w:tabs>
        <w:ind w:left="360" w:hanging="360"/>
      </w:pPr>
      <w:r w:rsidRPr="000B1082">
        <w:t>No capital outlay</w:t>
      </w:r>
    </w:p>
    <w:p w14:paraId="1F3E23EE" w14:textId="77777777" w:rsidR="00D24A4B" w:rsidRPr="000B1082" w:rsidRDefault="00D24A4B" w:rsidP="00D24A4B">
      <w:pPr>
        <w:pStyle w:val="Bullet1Double"/>
        <w:numPr>
          <w:ilvl w:val="0"/>
          <w:numId w:val="9"/>
        </w:numPr>
        <w:tabs>
          <w:tab w:val="clear" w:pos="0"/>
        </w:tabs>
        <w:ind w:left="360" w:hanging="360"/>
      </w:pPr>
      <w:r w:rsidRPr="000B1082">
        <w:lastRenderedPageBreak/>
        <w:t>The solution designed and integrated</w:t>
      </w:r>
    </w:p>
    <w:p w14:paraId="2DF53588" w14:textId="77777777" w:rsidR="00D24A4B" w:rsidRPr="000B1082" w:rsidRDefault="00D24A4B" w:rsidP="00D24A4B">
      <w:pPr>
        <w:pStyle w:val="Bullet1Double"/>
        <w:numPr>
          <w:ilvl w:val="0"/>
          <w:numId w:val="9"/>
        </w:numPr>
        <w:tabs>
          <w:tab w:val="clear" w:pos="0"/>
        </w:tabs>
        <w:ind w:left="360" w:hanging="360"/>
      </w:pPr>
      <w:r w:rsidRPr="000B1082">
        <w:t>Elastic IT that evolves ahead of your needs</w:t>
      </w:r>
    </w:p>
    <w:p w14:paraId="3313749B" w14:textId="77777777" w:rsidR="00D24A4B" w:rsidRPr="000B1082" w:rsidRDefault="00D24A4B" w:rsidP="00D24A4B">
      <w:pPr>
        <w:pStyle w:val="BodyText"/>
      </w:pPr>
      <w:r w:rsidRPr="000B1082">
        <w:t>The HPE GreenLake Flex Capacity package for HPE 3PAR StoreServ 8200 makes the acquisition and implementation of a blade infrastructure even simpler. Using HPE 3PAR StoreServ 8200 with a single solid state disk tier in our HPE GreenLake package delivers consumption-based economics and scalability within the boundaries of HPE 3PAR StoreServ array. HPE GreenLake Flex Capacity package provides active capacity management, variable monthly payments based on metered usage, and services to make Hybrid IT simpler - providing a new and better way of acquiring and consuming IT.</w:t>
      </w:r>
    </w:p>
    <w:p w14:paraId="0C6D1BC1" w14:textId="77777777" w:rsidR="00D24A4B" w:rsidRPr="000B1082" w:rsidRDefault="00D24A4B" w:rsidP="00D24A4B">
      <w:pPr>
        <w:pStyle w:val="BodyText"/>
      </w:pPr>
      <w:r w:rsidRPr="000B1082">
        <w:t>Using HPE GreenLake Flex Capacity package with HPE 3PAR StoreServ 8200, you can have:</w:t>
      </w:r>
    </w:p>
    <w:p w14:paraId="50CE6C7E" w14:textId="77777777" w:rsidR="00D24A4B" w:rsidRPr="000B1082" w:rsidRDefault="00D24A4B" w:rsidP="00D24A4B">
      <w:pPr>
        <w:pStyle w:val="Bullet1Double"/>
        <w:numPr>
          <w:ilvl w:val="0"/>
          <w:numId w:val="9"/>
        </w:numPr>
        <w:tabs>
          <w:tab w:val="clear" w:pos="0"/>
        </w:tabs>
        <w:ind w:left="360" w:hanging="360"/>
      </w:pPr>
      <w:r w:rsidRPr="000B1082">
        <w:t>Pay per use for storage – the cost for your IT usage is based on actual metered consumption of on-premises HPE storage in formatted raw GB</w:t>
      </w:r>
    </w:p>
    <w:p w14:paraId="1A24EC27" w14:textId="77777777" w:rsidR="00D24A4B" w:rsidRPr="000B1082" w:rsidRDefault="00D24A4B" w:rsidP="00D24A4B">
      <w:pPr>
        <w:pStyle w:val="Bullet1Double"/>
        <w:numPr>
          <w:ilvl w:val="0"/>
          <w:numId w:val="9"/>
        </w:numPr>
        <w:tabs>
          <w:tab w:val="clear" w:pos="0"/>
        </w:tabs>
        <w:ind w:left="360" w:hanging="360"/>
      </w:pPr>
      <w:r w:rsidRPr="000B1082">
        <w:t>A single contract and a single monthly invoice that combines the usage from on-premises IT infrastructure resources installed in your data center</w:t>
      </w:r>
    </w:p>
    <w:p w14:paraId="1584477F" w14:textId="77777777" w:rsidR="00D24A4B" w:rsidRPr="000B1082" w:rsidRDefault="00D24A4B" w:rsidP="00D24A4B">
      <w:pPr>
        <w:pStyle w:val="Bullet1Double"/>
        <w:numPr>
          <w:ilvl w:val="0"/>
          <w:numId w:val="9"/>
        </w:numPr>
        <w:tabs>
          <w:tab w:val="clear" w:pos="0"/>
        </w:tabs>
        <w:ind w:left="360" w:hanging="360"/>
      </w:pPr>
      <w:r w:rsidRPr="000B1082">
        <w:t>A single usage portal and reporting of the services you use and the capacity you consume so that you can understand usage and plan for the future</w:t>
      </w:r>
    </w:p>
    <w:p w14:paraId="0EB796E0" w14:textId="77777777" w:rsidR="00D24A4B" w:rsidRPr="000B1082" w:rsidRDefault="00D24A4B" w:rsidP="00D24A4B">
      <w:pPr>
        <w:pStyle w:val="Bullet1Double"/>
        <w:numPr>
          <w:ilvl w:val="0"/>
          <w:numId w:val="9"/>
        </w:numPr>
        <w:tabs>
          <w:tab w:val="clear" w:pos="0"/>
        </w:tabs>
        <w:ind w:left="360" w:hanging="360"/>
      </w:pPr>
      <w:r w:rsidRPr="000B1082">
        <w:t>A single enterprise-grade support experience with HPE Datacenter Care; HPE Datacenter Care is the basis for GreenLake Flex Capacity, providing support and guidance for your IT environment</w:t>
      </w:r>
    </w:p>
    <w:p w14:paraId="3423CAA5" w14:textId="77777777" w:rsidR="00D24A4B" w:rsidRDefault="00D24A4B" w:rsidP="00D24A4B">
      <w:pPr>
        <w:pStyle w:val="Bullet1Double"/>
        <w:numPr>
          <w:ilvl w:val="0"/>
          <w:numId w:val="9"/>
        </w:numPr>
        <w:tabs>
          <w:tab w:val="clear" w:pos="0"/>
        </w:tabs>
        <w:ind w:left="360" w:hanging="360"/>
      </w:pPr>
      <w:r w:rsidRPr="000B1082">
        <w:t>Predictable price per month as consumption increases</w:t>
      </w:r>
    </w:p>
    <w:p w14:paraId="5C21E96A" w14:textId="77777777" w:rsidR="00D24A4B" w:rsidRDefault="00D24A4B" w:rsidP="00D24A4B">
      <w:pPr>
        <w:pStyle w:val="Heading30"/>
      </w:pPr>
      <w:bookmarkStart w:id="11" w:name="_Toc518548584"/>
      <w:r w:rsidRPr="00235135">
        <w:t>HPE GreenLake Flex Capacity Package</w:t>
      </w:r>
      <w:r>
        <w:t xml:space="preserve"> </w:t>
      </w:r>
      <w:r w:rsidRPr="00235135">
        <w:t>HPE StoreOnce 5100</w:t>
      </w:r>
      <w:r>
        <w:t xml:space="preserve"> (IaaS)</w:t>
      </w:r>
      <w:bookmarkEnd w:id="11"/>
    </w:p>
    <w:p w14:paraId="1C0480AB" w14:textId="77777777" w:rsidR="00D24A4B" w:rsidRPr="00235135" w:rsidRDefault="00D24A4B" w:rsidP="00D24A4B">
      <w:pPr>
        <w:pStyle w:val="BodyText"/>
      </w:pPr>
      <w:r w:rsidRPr="00235135">
        <w:t>HPE StoreOnce Systems with StoreOnce Catalyst provide a single, high-performance backup architecture that spans the entire enterprise. Industry leading backup and restore speeds mean that you can meet shrinking backup windows and recovery SLAs. Plus, with HPE StoreOnce as the industry’s only federated deduplication technology, you can dedupe anywhere and control the movement of deduplicated data across the enterprise using your backup application. Seamlessly integrating with your current backup and business applications, HPE StoreOnce Systems provide flexible integration for SAN, Ethernet and virtualized environments reducing your cost, risk and complexity. Choose capacity points available through virtual backup solutions or dedicated appliances that start small and allow you to add in virtual capacity, shelves or nodes. Designed for mid-size data centers, StoreOnce 5100 allow you to scale from 48-288 TB raw (36-216 TB usable).</w:t>
      </w:r>
    </w:p>
    <w:p w14:paraId="73C8EEF1" w14:textId="77777777" w:rsidR="00D24A4B" w:rsidRPr="00235135" w:rsidRDefault="00D24A4B" w:rsidP="00D24A4B">
      <w:pPr>
        <w:pStyle w:val="BodyText"/>
      </w:pPr>
      <w:r w:rsidRPr="00235135">
        <w:t>Enjoy the simplicity, security, and control of elastic IT with financial flexibility – on-premises and on your terms. Building on the leadership and success of consuming infrastructure with HPE GreenLake Flex Capacity, HPE now has a suite of complete solutions designed, implemented, and operated for you. Delivered by HPE Pointnext, HPE GreenLake really is the best of both worlds. HPE does the IT heavy lifting, and you get a simple, pay-per-use environment, maintaining full control of your apps and data in your own environment with</w:t>
      </w:r>
      <w:r>
        <w:t>:</w:t>
      </w:r>
    </w:p>
    <w:p w14:paraId="7E83970C" w14:textId="77777777" w:rsidR="00D24A4B" w:rsidRPr="00235135" w:rsidRDefault="00D24A4B" w:rsidP="00D24A4B">
      <w:pPr>
        <w:pStyle w:val="Bullet1Double"/>
        <w:numPr>
          <w:ilvl w:val="0"/>
          <w:numId w:val="9"/>
        </w:numPr>
        <w:tabs>
          <w:tab w:val="clear" w:pos="0"/>
        </w:tabs>
        <w:ind w:left="360" w:hanging="360"/>
      </w:pPr>
      <w:r w:rsidRPr="00235135">
        <w:t>Rapid onboarding</w:t>
      </w:r>
    </w:p>
    <w:p w14:paraId="19469F2C" w14:textId="77777777" w:rsidR="00D24A4B" w:rsidRPr="00235135" w:rsidRDefault="00D24A4B" w:rsidP="00D24A4B">
      <w:pPr>
        <w:pStyle w:val="Bullet1Double"/>
        <w:numPr>
          <w:ilvl w:val="0"/>
          <w:numId w:val="9"/>
        </w:numPr>
        <w:tabs>
          <w:tab w:val="clear" w:pos="0"/>
        </w:tabs>
        <w:ind w:left="360" w:hanging="360"/>
      </w:pPr>
      <w:r w:rsidRPr="00235135">
        <w:t>No capital outlay</w:t>
      </w:r>
    </w:p>
    <w:p w14:paraId="45551F8B" w14:textId="77777777" w:rsidR="00D24A4B" w:rsidRPr="00235135" w:rsidRDefault="00D24A4B" w:rsidP="00D24A4B">
      <w:pPr>
        <w:pStyle w:val="Bullet1Double"/>
        <w:numPr>
          <w:ilvl w:val="0"/>
          <w:numId w:val="9"/>
        </w:numPr>
        <w:tabs>
          <w:tab w:val="clear" w:pos="0"/>
        </w:tabs>
        <w:ind w:left="360" w:hanging="360"/>
      </w:pPr>
      <w:r w:rsidRPr="00235135">
        <w:t>The solution designed and integrated</w:t>
      </w:r>
    </w:p>
    <w:p w14:paraId="6DA7F90D" w14:textId="77777777" w:rsidR="00D24A4B" w:rsidRPr="00235135" w:rsidRDefault="00D24A4B" w:rsidP="00D24A4B">
      <w:pPr>
        <w:pStyle w:val="Bullet1Double"/>
        <w:numPr>
          <w:ilvl w:val="0"/>
          <w:numId w:val="9"/>
        </w:numPr>
        <w:tabs>
          <w:tab w:val="clear" w:pos="0"/>
        </w:tabs>
        <w:ind w:left="360" w:hanging="360"/>
      </w:pPr>
      <w:r w:rsidRPr="00235135">
        <w:lastRenderedPageBreak/>
        <w:t>Elastic IT that evolves ahead of your needs</w:t>
      </w:r>
    </w:p>
    <w:p w14:paraId="600A5498" w14:textId="77777777" w:rsidR="00D24A4B" w:rsidRPr="00235135" w:rsidRDefault="00D24A4B" w:rsidP="00D24A4B">
      <w:pPr>
        <w:pStyle w:val="BodyText"/>
      </w:pPr>
      <w:r w:rsidRPr="00235135">
        <w:t>The HPE GreenLake Flex Capacity package for HPE StoreOnce 5100 makes the acquisition and implementation of all flash storage even simpler. Using HPE StoreOnce 5100 in our HPE GreenLake package delivers consumption-based economics and scalability within the boundaries of HPE StoreOnce systems. HPE GreenLake Flex Capacity package provides active capacity management, variable monthly payments based on metered usage1, and services to make Hybrid IT simpler - providing a new and better way of acquiring and consuming IT.</w:t>
      </w:r>
    </w:p>
    <w:p w14:paraId="075C2237" w14:textId="77777777" w:rsidR="00D24A4B" w:rsidRPr="00235135" w:rsidRDefault="00D24A4B" w:rsidP="00D24A4B">
      <w:pPr>
        <w:pStyle w:val="BodyText"/>
      </w:pPr>
      <w:r w:rsidRPr="00235135">
        <w:t>Using HPE GreenLake Flex Capacity package with HPE StoreOnce 5100, you can have:</w:t>
      </w:r>
    </w:p>
    <w:p w14:paraId="74994708" w14:textId="77777777" w:rsidR="00D24A4B" w:rsidRPr="00235135" w:rsidRDefault="00D24A4B" w:rsidP="00D24A4B">
      <w:pPr>
        <w:pStyle w:val="Bullet1Double"/>
        <w:numPr>
          <w:ilvl w:val="0"/>
          <w:numId w:val="9"/>
        </w:numPr>
        <w:tabs>
          <w:tab w:val="clear" w:pos="0"/>
        </w:tabs>
        <w:ind w:left="360" w:hanging="360"/>
      </w:pPr>
      <w:r w:rsidRPr="00235135">
        <w:t>Pay per use for storage – the cost for your IT usage is based on actual metered consumption of on-premises HPE storage in usable GB</w:t>
      </w:r>
    </w:p>
    <w:p w14:paraId="374700CF" w14:textId="77777777" w:rsidR="00D24A4B" w:rsidRPr="00235135" w:rsidRDefault="00D24A4B" w:rsidP="00D24A4B">
      <w:pPr>
        <w:pStyle w:val="Bullet1Double"/>
        <w:numPr>
          <w:ilvl w:val="0"/>
          <w:numId w:val="9"/>
        </w:numPr>
        <w:tabs>
          <w:tab w:val="clear" w:pos="0"/>
        </w:tabs>
        <w:ind w:left="360" w:hanging="360"/>
      </w:pPr>
      <w:r w:rsidRPr="00235135">
        <w:t>A single contract and a single monthly invoice that combines the usage from on-premises IT infrastructure resources installed in your data center</w:t>
      </w:r>
    </w:p>
    <w:p w14:paraId="39F6C543" w14:textId="77777777" w:rsidR="00D24A4B" w:rsidRPr="00235135" w:rsidRDefault="00D24A4B" w:rsidP="00D24A4B">
      <w:pPr>
        <w:pStyle w:val="Bullet1Double"/>
        <w:numPr>
          <w:ilvl w:val="0"/>
          <w:numId w:val="9"/>
        </w:numPr>
        <w:tabs>
          <w:tab w:val="clear" w:pos="0"/>
        </w:tabs>
        <w:ind w:left="360" w:hanging="360"/>
      </w:pPr>
      <w:r w:rsidRPr="00235135">
        <w:t>A single usage portal and reporting of the services you use and the capacity you consume so that you can understand usage and plan for the future</w:t>
      </w:r>
    </w:p>
    <w:p w14:paraId="4AFA80CB" w14:textId="77777777" w:rsidR="00D24A4B" w:rsidRPr="00235135" w:rsidRDefault="00D24A4B" w:rsidP="00D24A4B">
      <w:pPr>
        <w:pStyle w:val="Bullet1Double"/>
        <w:numPr>
          <w:ilvl w:val="0"/>
          <w:numId w:val="9"/>
        </w:numPr>
        <w:tabs>
          <w:tab w:val="clear" w:pos="0"/>
        </w:tabs>
        <w:ind w:left="360" w:hanging="360"/>
      </w:pPr>
      <w:r w:rsidRPr="00235135">
        <w:t>A single enterprise-grade support experience with HPE Datacenter Care; HPE Datacenter Care is the basis for GreenLake Flex Capacity, providing support and guidance for your IT environment</w:t>
      </w:r>
    </w:p>
    <w:p w14:paraId="072BC357" w14:textId="77777777" w:rsidR="00D24A4B" w:rsidRDefault="00D24A4B" w:rsidP="00D24A4B">
      <w:pPr>
        <w:pStyle w:val="Bullet1Double"/>
        <w:numPr>
          <w:ilvl w:val="0"/>
          <w:numId w:val="9"/>
        </w:numPr>
        <w:tabs>
          <w:tab w:val="clear" w:pos="0"/>
        </w:tabs>
        <w:ind w:left="360" w:hanging="360"/>
      </w:pPr>
      <w:r w:rsidRPr="00235135">
        <w:t>Predictable price per month as consumption increases</w:t>
      </w:r>
    </w:p>
    <w:p w14:paraId="34F1A10B" w14:textId="77777777" w:rsidR="00D24A4B" w:rsidRDefault="00D24A4B" w:rsidP="00D24A4B">
      <w:pPr>
        <w:pStyle w:val="Heading30"/>
      </w:pPr>
      <w:bookmarkStart w:id="12" w:name="_Toc518548585"/>
      <w:r w:rsidRPr="00A02E75">
        <w:t>HPE GreenLake Flex Capacity Package</w:t>
      </w:r>
      <w:r>
        <w:t xml:space="preserve"> </w:t>
      </w:r>
      <w:r w:rsidRPr="00A02E75">
        <w:t>HPE SimpliVity 380</w:t>
      </w:r>
      <w:r>
        <w:t xml:space="preserve"> (IaaS)</w:t>
      </w:r>
      <w:bookmarkEnd w:id="12"/>
    </w:p>
    <w:p w14:paraId="34BC04EE" w14:textId="77777777" w:rsidR="00D24A4B" w:rsidRPr="00DB11B2" w:rsidRDefault="00D24A4B" w:rsidP="00D24A4B">
      <w:pPr>
        <w:pStyle w:val="TableText10Double"/>
        <w:rPr>
          <w:sz w:val="22"/>
        </w:rPr>
      </w:pPr>
      <w:r w:rsidRPr="00DB11B2">
        <w:rPr>
          <w:sz w:val="22"/>
        </w:rPr>
        <w:t>HPE SimpliVity is a powerful, simple, and efficient hyperconverged platform that joins best-in-class data services with the world’s best-selling server and offers the industry’s most complete guarantee. With HPE SimpliVity, you can streamline and enable IT operations at a fraction of the cost of traditional and public cloud solutions by combining your IT infrastructure and advanced data services into a single, integrated all-flash solution. The true power of hyperconvergence comes from full consolidation of your software and hardware devices.</w:t>
      </w:r>
    </w:p>
    <w:p w14:paraId="2C15E173" w14:textId="77777777" w:rsidR="00D24A4B" w:rsidRPr="00DB11B2" w:rsidRDefault="00D24A4B" w:rsidP="00D24A4B">
      <w:pPr>
        <w:pStyle w:val="TableText10Double"/>
        <w:rPr>
          <w:sz w:val="22"/>
        </w:rPr>
      </w:pPr>
      <w:r w:rsidRPr="00DB11B2">
        <w:rPr>
          <w:sz w:val="22"/>
        </w:rPr>
        <w:t>To minimize your data center footprint, place all your IT infrastructure below the hypervisor on a scalable x86 platform and reduce your data center devices by 10:1, resulting in greater operational efficiency and improved performance. Protect your data in a fraction of the time required by legacy solutions with built-in, end-to-end data protection and automated disaster recovery. HPE SimpliVity reduces storage and bandwidth requirements, resulting in more recovery points and enhanced VM protection.</w:t>
      </w:r>
    </w:p>
    <w:p w14:paraId="5E76BB16" w14:textId="77777777" w:rsidR="00D24A4B" w:rsidRPr="00DB11B2" w:rsidRDefault="00D24A4B" w:rsidP="00D24A4B">
      <w:pPr>
        <w:pStyle w:val="TableText10Double"/>
        <w:rPr>
          <w:sz w:val="22"/>
        </w:rPr>
      </w:pPr>
      <w:r w:rsidRPr="00DB11B2">
        <w:rPr>
          <w:sz w:val="22"/>
        </w:rPr>
        <w:t>Deployed for VDI (virtual desktop infrastructure), you get more virtual desktops on less hardware; easily add nodes when you deploy new desktops; and globally backup, restore or clone a VM in three clicks or less. HPE SimpliVity introduces cost-effective scalability for remote and branch offices (ROBO), provides built-in data efficiency and protection for ROBOs, and centralizes management into a single, unified solution.</w:t>
      </w:r>
    </w:p>
    <w:p w14:paraId="0BF431AF" w14:textId="77777777" w:rsidR="00D24A4B" w:rsidRPr="00DB11B2" w:rsidRDefault="00D24A4B" w:rsidP="00D24A4B">
      <w:pPr>
        <w:pStyle w:val="TableText10Double"/>
        <w:rPr>
          <w:sz w:val="22"/>
        </w:rPr>
      </w:pPr>
      <w:r w:rsidRPr="00DB11B2">
        <w:rPr>
          <w:sz w:val="22"/>
        </w:rPr>
        <w:t>HPE SimpliVity combines your entire infrastructure into a simple, flexible building block so you can reduce the cost and complexity of your IT environment and deliver the technology your organization needs.</w:t>
      </w:r>
    </w:p>
    <w:p w14:paraId="3222AF43" w14:textId="77777777" w:rsidR="00D24A4B" w:rsidRPr="00DB11B2" w:rsidRDefault="00D24A4B" w:rsidP="00D24A4B">
      <w:pPr>
        <w:pStyle w:val="TableText10Double"/>
        <w:rPr>
          <w:sz w:val="22"/>
        </w:rPr>
      </w:pPr>
      <w:r w:rsidRPr="00DB11B2">
        <w:rPr>
          <w:sz w:val="22"/>
        </w:rPr>
        <w:t xml:space="preserve">Enjoy the simplicity, security, and control of elastic IT with financial flexibility – on-premises and on your terms. Building on the leadership and success of consuming infrastructure with HPE GreenLake Flex Capacity, HPE now has a suite of complete solutions designed, </w:t>
      </w:r>
      <w:r w:rsidRPr="00DB11B2">
        <w:rPr>
          <w:sz w:val="22"/>
        </w:rPr>
        <w:lastRenderedPageBreak/>
        <w:t>implemented, and operated for you. Delivered by HPE Pointnext, HPE GreenLake really is the best of both worlds. HPE does the IT heavy lifting, and you get a simple, pay-per-use environment, maintaining full control of your apps and data in your own environment with</w:t>
      </w:r>
      <w:r>
        <w:rPr>
          <w:sz w:val="22"/>
        </w:rPr>
        <w:t>:</w:t>
      </w:r>
    </w:p>
    <w:p w14:paraId="77AA6904" w14:textId="77777777" w:rsidR="00D24A4B" w:rsidRPr="00DB11B2" w:rsidRDefault="00D24A4B" w:rsidP="00D24A4B">
      <w:pPr>
        <w:pStyle w:val="Bullet1Double"/>
        <w:numPr>
          <w:ilvl w:val="0"/>
          <w:numId w:val="9"/>
        </w:numPr>
        <w:tabs>
          <w:tab w:val="clear" w:pos="0"/>
        </w:tabs>
        <w:ind w:left="360" w:hanging="360"/>
      </w:pPr>
      <w:r w:rsidRPr="00DB11B2">
        <w:t>Rapid onboarding</w:t>
      </w:r>
    </w:p>
    <w:p w14:paraId="5F8BA9D3" w14:textId="77777777" w:rsidR="00D24A4B" w:rsidRPr="00DB11B2" w:rsidRDefault="00D24A4B" w:rsidP="00D24A4B">
      <w:pPr>
        <w:pStyle w:val="Bullet1Double"/>
        <w:numPr>
          <w:ilvl w:val="0"/>
          <w:numId w:val="9"/>
        </w:numPr>
        <w:tabs>
          <w:tab w:val="clear" w:pos="0"/>
        </w:tabs>
        <w:ind w:left="360" w:hanging="360"/>
      </w:pPr>
      <w:r w:rsidRPr="00DB11B2">
        <w:t>No capital outlay</w:t>
      </w:r>
    </w:p>
    <w:p w14:paraId="0BFEE8BC" w14:textId="77777777" w:rsidR="00D24A4B" w:rsidRPr="00DB11B2" w:rsidRDefault="00D24A4B" w:rsidP="00D24A4B">
      <w:pPr>
        <w:pStyle w:val="Bullet1Double"/>
        <w:numPr>
          <w:ilvl w:val="0"/>
          <w:numId w:val="9"/>
        </w:numPr>
        <w:tabs>
          <w:tab w:val="clear" w:pos="0"/>
        </w:tabs>
        <w:ind w:left="360" w:hanging="360"/>
      </w:pPr>
      <w:r w:rsidRPr="00DB11B2">
        <w:t>The solution designed and integrated</w:t>
      </w:r>
    </w:p>
    <w:p w14:paraId="4D33290C" w14:textId="77777777" w:rsidR="00D24A4B" w:rsidRPr="00DB11B2" w:rsidRDefault="00D24A4B" w:rsidP="00D24A4B">
      <w:pPr>
        <w:pStyle w:val="Bullet1Double"/>
        <w:numPr>
          <w:ilvl w:val="0"/>
          <w:numId w:val="9"/>
        </w:numPr>
        <w:tabs>
          <w:tab w:val="clear" w:pos="0"/>
        </w:tabs>
        <w:ind w:left="360" w:hanging="360"/>
      </w:pPr>
      <w:r w:rsidRPr="00DB11B2">
        <w:t>Elastic IT that evolves ahead of your needs</w:t>
      </w:r>
    </w:p>
    <w:p w14:paraId="3EBA8667" w14:textId="77777777" w:rsidR="00D24A4B" w:rsidRPr="006E4625" w:rsidRDefault="00D24A4B" w:rsidP="00D24A4B">
      <w:pPr>
        <w:pStyle w:val="TableText10Double"/>
        <w:rPr>
          <w:sz w:val="22"/>
        </w:rPr>
      </w:pPr>
      <w:r w:rsidRPr="006E4625">
        <w:rPr>
          <w:sz w:val="22"/>
        </w:rPr>
        <w:t>The HPE GreenLake Flex Capacity Standard Package for HPE SimpliVity 380 makes the acquisition and implementation of enterprise-level performance and reliability even simpler. Using HPE SimpliVity 380 in our HPE GreenLake package delivers consumption-based economics and scalability within the boundaries of HPE SimpliVity hyperconverged infrastructure. HPE GreenLake Flex Capacity standard package provides active capacity management, variable monthly payments based on metered usage, and services to make Hybrid IT simpler - providing a new and better way of acquiring and consuming IT.</w:t>
      </w:r>
    </w:p>
    <w:p w14:paraId="14C2FD7B" w14:textId="77777777" w:rsidR="00D24A4B" w:rsidRPr="00DB11B2" w:rsidRDefault="00D24A4B" w:rsidP="00D24A4B">
      <w:pPr>
        <w:pStyle w:val="TableText10Double"/>
        <w:rPr>
          <w:sz w:val="22"/>
        </w:rPr>
      </w:pPr>
      <w:r w:rsidRPr="006E4625">
        <w:rPr>
          <w:sz w:val="22"/>
        </w:rPr>
        <w:t>Using HPE GreenLake Flex Capacity Standard Package with HPE SimpliVity 380, you can have:</w:t>
      </w:r>
    </w:p>
    <w:p w14:paraId="178305EB" w14:textId="77777777" w:rsidR="00D24A4B" w:rsidRPr="00DB11B2" w:rsidRDefault="00D24A4B" w:rsidP="00D24A4B">
      <w:pPr>
        <w:pStyle w:val="Bullet1Double"/>
        <w:numPr>
          <w:ilvl w:val="0"/>
          <w:numId w:val="9"/>
        </w:numPr>
        <w:tabs>
          <w:tab w:val="clear" w:pos="0"/>
        </w:tabs>
        <w:ind w:left="360" w:hanging="360"/>
      </w:pPr>
      <w:r w:rsidRPr="00DB11B2">
        <w:t>Pay per use for Hybrid IT – the cost for your IT usage is based on actual metered consumption of HPE SimpliVity 380 on-premises in Compute Units (vRAM)</w:t>
      </w:r>
    </w:p>
    <w:p w14:paraId="1886BE9F" w14:textId="77777777" w:rsidR="00D24A4B" w:rsidRPr="00DB11B2" w:rsidRDefault="00D24A4B" w:rsidP="00D24A4B">
      <w:pPr>
        <w:pStyle w:val="Bullet1Double"/>
        <w:numPr>
          <w:ilvl w:val="0"/>
          <w:numId w:val="9"/>
        </w:numPr>
        <w:tabs>
          <w:tab w:val="clear" w:pos="0"/>
        </w:tabs>
        <w:ind w:left="360" w:hanging="360"/>
      </w:pPr>
      <w:r w:rsidRPr="00DB11B2">
        <w:t>A single contract and a single monthly invoice that combines the usage from on-premises IT infrastructure resources installed in your data center</w:t>
      </w:r>
    </w:p>
    <w:p w14:paraId="044BA0B9" w14:textId="77777777" w:rsidR="00D24A4B" w:rsidRPr="00DB11B2" w:rsidRDefault="00D24A4B" w:rsidP="00D24A4B">
      <w:pPr>
        <w:pStyle w:val="Bullet1Double"/>
        <w:numPr>
          <w:ilvl w:val="0"/>
          <w:numId w:val="9"/>
        </w:numPr>
        <w:tabs>
          <w:tab w:val="clear" w:pos="0"/>
        </w:tabs>
        <w:ind w:left="360" w:hanging="360"/>
      </w:pPr>
      <w:r w:rsidRPr="00DB11B2">
        <w:t>A single usage portal and reporting of the services you use and the capacity you consume so that you can understand usage and plan for the future</w:t>
      </w:r>
    </w:p>
    <w:p w14:paraId="64618D35" w14:textId="77777777" w:rsidR="00D24A4B" w:rsidRPr="00DB11B2" w:rsidRDefault="00D24A4B" w:rsidP="00D24A4B">
      <w:pPr>
        <w:pStyle w:val="Bullet1Double"/>
        <w:numPr>
          <w:ilvl w:val="0"/>
          <w:numId w:val="9"/>
        </w:numPr>
        <w:tabs>
          <w:tab w:val="clear" w:pos="0"/>
        </w:tabs>
        <w:ind w:left="360" w:hanging="360"/>
      </w:pPr>
      <w:r w:rsidRPr="00DB11B2">
        <w:t>A single enterprise-grade support experience with HPE Datacenter Care; HPE Datacenter Care is the basis for GreenLake Flex Capacity, providing support and guidance for your IT environment</w:t>
      </w:r>
    </w:p>
    <w:p w14:paraId="0D730658" w14:textId="77777777" w:rsidR="00D24A4B" w:rsidRPr="00DB11B2" w:rsidRDefault="00D24A4B" w:rsidP="00D24A4B">
      <w:pPr>
        <w:pStyle w:val="Bullet1Double"/>
        <w:numPr>
          <w:ilvl w:val="0"/>
          <w:numId w:val="9"/>
        </w:numPr>
        <w:tabs>
          <w:tab w:val="clear" w:pos="0"/>
        </w:tabs>
        <w:ind w:left="360" w:hanging="360"/>
      </w:pPr>
      <w:r w:rsidRPr="00DB11B2">
        <w:t>Predictable price per month as consumption increases</w:t>
      </w:r>
    </w:p>
    <w:p w14:paraId="10C71A84" w14:textId="77777777" w:rsidR="00D24A4B" w:rsidRPr="006E6D72" w:rsidRDefault="00D24A4B" w:rsidP="00D24A4B">
      <w:pPr>
        <w:pStyle w:val="Heading30"/>
        <w:rPr>
          <w:b w:val="0"/>
        </w:rPr>
      </w:pPr>
      <w:bookmarkStart w:id="13" w:name="_Toc518548586"/>
      <w:r w:rsidRPr="0053472A">
        <w:t>HPE OneSphere</w:t>
      </w:r>
      <w:r>
        <w:t xml:space="preserve"> (SaaS)</w:t>
      </w:r>
      <w:bookmarkEnd w:id="13"/>
    </w:p>
    <w:p w14:paraId="4150E470" w14:textId="77777777" w:rsidR="00D24A4B" w:rsidRPr="0053472A" w:rsidRDefault="00D24A4B" w:rsidP="00D24A4B">
      <w:pPr>
        <w:spacing w:after="120" w:line="240" w:lineRule="auto"/>
        <w:rPr>
          <w:rFonts w:ascii="Arial" w:eastAsia="PMingLiU" w:hAnsi="Arial" w:cs="Times New Roman"/>
          <w:color w:val="000000"/>
          <w:szCs w:val="20"/>
        </w:rPr>
      </w:pPr>
      <w:r w:rsidRPr="0053472A">
        <w:rPr>
          <w:rFonts w:ascii="Arial" w:eastAsia="PMingLiU" w:hAnsi="Arial" w:cs="Times New Roman"/>
          <w:color w:val="000000"/>
          <w:szCs w:val="20"/>
        </w:rPr>
        <w:t xml:space="preserve">HPE OneSphere is the industry’s first multi-cloud management solution that provides a unified experience across public clouds, on-premises private clouds, and software-defined infrastructure. Through its software-as-a-service (SaaS) </w:t>
      </w:r>
      <w:r>
        <w:rPr>
          <w:rFonts w:ascii="Arial" w:eastAsia="PMingLiU" w:hAnsi="Arial" w:cs="Times New Roman"/>
          <w:color w:val="000000"/>
          <w:szCs w:val="20"/>
        </w:rPr>
        <w:t xml:space="preserve">portal, HPE OneSphere provides </w:t>
      </w:r>
      <w:r w:rsidRPr="0053472A">
        <w:rPr>
          <w:rFonts w:ascii="Arial" w:eastAsia="PMingLiU" w:hAnsi="Arial" w:cs="Times New Roman"/>
          <w:color w:val="000000"/>
          <w:szCs w:val="20"/>
        </w:rPr>
        <w:t>access to a pool of IT resources that spans the public cloud services they subscribe to, as well as their on-premises environments. HPE OneSphere is designed for IT operations, developers, and business executives seeking to build clouds, deploy applications, and gain insights faster.</w:t>
      </w:r>
    </w:p>
    <w:p w14:paraId="57587627" w14:textId="77777777" w:rsidR="00D24A4B" w:rsidRPr="0053472A" w:rsidRDefault="00D24A4B" w:rsidP="00D24A4B">
      <w:pPr>
        <w:spacing w:after="120" w:line="240" w:lineRule="auto"/>
        <w:rPr>
          <w:rFonts w:ascii="Arial" w:eastAsia="PMingLiU" w:hAnsi="Arial" w:cs="Times New Roman"/>
          <w:color w:val="000000"/>
          <w:szCs w:val="20"/>
        </w:rPr>
      </w:pPr>
      <w:r w:rsidRPr="0053472A">
        <w:rPr>
          <w:rFonts w:ascii="Arial" w:eastAsia="PMingLiU" w:hAnsi="Arial" w:cs="Times New Roman"/>
          <w:color w:val="000000"/>
          <w:szCs w:val="20"/>
        </w:rPr>
        <w:t>HPE OneSphere’s multi-cloud strategy—enabling the solution to be used with any public cloud provider—is designed to dramatically simplify operations. The solution works across virtual machines, containerized workloads, and bare metal applications, so internal stakeholders can compose hybrid clouds capable of supporting both traditional and cloud-native applications. Delivered as a service, HPE OneSphere provides users with a single point to access all their applications and data from anywhere. Through it, users can build private clouds and connect public cloud resources, resulting in a virtual resource pool.</w:t>
      </w:r>
    </w:p>
    <w:p w14:paraId="77B98B5C" w14:textId="77777777" w:rsidR="00D24A4B" w:rsidRPr="0053472A" w:rsidRDefault="00D24A4B" w:rsidP="00D24A4B">
      <w:pPr>
        <w:pStyle w:val="FigureCaptionAuto"/>
      </w:pPr>
      <w:r w:rsidRPr="0053472A">
        <w:lastRenderedPageBreak/>
        <w:t>What differentiates HPE OneSphere from other solutions?</w:t>
      </w:r>
    </w:p>
    <w:p w14:paraId="2424366B" w14:textId="77777777" w:rsidR="00D24A4B" w:rsidRPr="0053472A" w:rsidRDefault="00D24A4B" w:rsidP="00D24A4B">
      <w:pPr>
        <w:spacing w:after="120" w:line="240" w:lineRule="auto"/>
        <w:jc w:val="center"/>
        <w:rPr>
          <w:rFonts w:ascii="Arial" w:eastAsia="PMingLiU" w:hAnsi="Arial" w:cs="Times New Roman"/>
          <w:color w:val="000000"/>
          <w:szCs w:val="20"/>
        </w:rPr>
      </w:pPr>
      <w:r w:rsidRPr="0053472A">
        <w:rPr>
          <w:rFonts w:ascii="Arial" w:eastAsia="PMingLiU" w:hAnsi="Arial" w:cs="Times New Roman"/>
          <w:noProof/>
          <w:color w:val="000000"/>
          <w:szCs w:val="20"/>
          <w:lang w:val="en-GB" w:eastAsia="en-GB"/>
        </w:rPr>
        <w:drawing>
          <wp:inline distT="0" distB="0" distL="0" distR="0" wp14:anchorId="15E2B220" wp14:editId="34D82FB2">
            <wp:extent cx="5413375" cy="1998316"/>
            <wp:effectExtent l="0" t="0" r="0" b="0"/>
            <wp:docPr id="13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13375" cy="1998316"/>
                    </a:xfrm>
                    <a:prstGeom prst="rect">
                      <a:avLst/>
                    </a:prstGeom>
                    <a:noFill/>
                    <a:ln>
                      <a:noFill/>
                    </a:ln>
                  </pic:spPr>
                </pic:pic>
              </a:graphicData>
            </a:graphic>
          </wp:inline>
        </w:drawing>
      </w:r>
    </w:p>
    <w:p w14:paraId="1C48733A" w14:textId="77777777" w:rsidR="00D24A4B" w:rsidRPr="0053472A" w:rsidRDefault="00D24A4B" w:rsidP="00D24A4B">
      <w:pPr>
        <w:pStyle w:val="Heading50"/>
      </w:pPr>
      <w:bookmarkStart w:id="14" w:name="_Toc517422376"/>
      <w:r w:rsidRPr="0053472A">
        <w:t>Build, Operate, and Manage Hybrid Clouds with Ease</w:t>
      </w:r>
      <w:bookmarkEnd w:id="14"/>
    </w:p>
    <w:p w14:paraId="22792F12" w14:textId="77777777" w:rsidR="00D24A4B" w:rsidRPr="0053472A" w:rsidRDefault="00D24A4B" w:rsidP="00D24A4B">
      <w:pPr>
        <w:pStyle w:val="BodyText"/>
      </w:pPr>
      <w:r w:rsidRPr="0053472A">
        <w:t xml:space="preserve">HPE OneSphere is a software-as-a-service (SaaS)-based cloud management platform to manage hybrid clouds. Optionally, it can be bundled with HPE software-defined infrastructure, </w:t>
      </w:r>
      <w:r w:rsidRPr="0053472A">
        <w:rPr>
          <w:bCs/>
        </w:rPr>
        <w:t>HPE Synergy</w:t>
      </w:r>
      <w:r w:rsidRPr="0053472A">
        <w:t xml:space="preserve"> and </w:t>
      </w:r>
      <w:r w:rsidRPr="0053472A">
        <w:rPr>
          <w:bCs/>
        </w:rPr>
        <w:t>HPE SimpliVity products</w:t>
      </w:r>
      <w:r w:rsidRPr="0053472A">
        <w:t>. Through a unified view in HPE OneSphere, internal stakeholders (IT operations, developers, business executives) can manage hybrid clouds capable of supporting both traditional and cloud-native applications. It can be deployed on-premises</w:t>
      </w:r>
      <w:r w:rsidRPr="003A583A">
        <w:t>, integrated with Microsoft Azure publ</w:t>
      </w:r>
      <w:r>
        <w:t>ic cloud</w:t>
      </w:r>
      <w:r w:rsidRPr="003A583A">
        <w:t>, as well as</w:t>
      </w:r>
      <w:r w:rsidRPr="0053472A">
        <w:t xml:space="preserve"> on-board existing VMware vSphere</w:t>
      </w:r>
      <w:r w:rsidRPr="0053472A">
        <w:rPr>
          <w:vertAlign w:val="superscript"/>
        </w:rPr>
        <w:t>®</w:t>
      </w:r>
      <w:r w:rsidRPr="0053472A">
        <w:t xml:space="preserve"> or kernel-based virtual machine (KVM) virtual data centers as cloud resource providers. </w:t>
      </w:r>
    </w:p>
    <w:p w14:paraId="1E0F8575" w14:textId="77777777" w:rsidR="00D24A4B" w:rsidRPr="0053472A" w:rsidRDefault="00D24A4B" w:rsidP="00D24A4B">
      <w:pPr>
        <w:pStyle w:val="BodyText"/>
      </w:pPr>
      <w:r w:rsidRPr="0053472A">
        <w:t>HPE OneSphere simplifies self-service provisioning of hybrid cloud resources for developers through service catalogs. It provides a detailed cost analytics to track, categorize, and report on your cloud costs across multiple clouds and introduces the concept of work spaces. The consulting and support services from HPE Pointnext further accelerate time-to-value and reduce the risk for your hybrid cloud journey.</w:t>
      </w:r>
    </w:p>
    <w:p w14:paraId="547F8AA8" w14:textId="77777777" w:rsidR="00D24A4B" w:rsidRPr="0053472A" w:rsidRDefault="00D24A4B" w:rsidP="00D24A4B">
      <w:pPr>
        <w:pStyle w:val="Heading50"/>
      </w:pPr>
      <w:bookmarkStart w:id="15" w:name="_Toc517422377"/>
      <w:r w:rsidRPr="0053472A">
        <w:t>Accelerate Application Delivery and Cost Visibility across Clouds</w:t>
      </w:r>
      <w:bookmarkEnd w:id="15"/>
    </w:p>
    <w:p w14:paraId="3BF72EDD" w14:textId="77777777" w:rsidR="00D24A4B" w:rsidRPr="0053472A" w:rsidRDefault="00D24A4B" w:rsidP="00D24A4B">
      <w:pPr>
        <w:pStyle w:val="BodyText"/>
      </w:pPr>
      <w:r w:rsidRPr="0053472A">
        <w:t>HPE OneSphere simplifies self-service provisioning of cloud resources across on-premises, private cloud, and public cloud for developers through service catalogs. HPE OneSphere provides an application catalog service by integrating different catalog services from private and public clouds. It allows importing of pre-existing operating system images and/or application images hosted on private or public cloud. Developers can optionally use HPE OneSphere REST API or the native cloud provider API and existing orchestration tools to deploy cloud resources. HPE OneSphere also provides detailed cost analytics to track, categorize, and report on cloud costs across multiple clouds. It gives the ability to view month-to-date and previous month resource cost information for both public and private cloud resource usage. On the private cloud side, it helps to define their own fixed cost model, which in turn can become the baseline for their internal chargeback.</w:t>
      </w:r>
    </w:p>
    <w:p w14:paraId="14CDBA57" w14:textId="77777777" w:rsidR="00D24A4B" w:rsidRPr="0053472A" w:rsidRDefault="00D24A4B" w:rsidP="00D24A4B">
      <w:pPr>
        <w:pStyle w:val="Heading50"/>
      </w:pPr>
      <w:bookmarkStart w:id="16" w:name="_Toc517422378"/>
      <w:r w:rsidRPr="0053472A">
        <w:t>Better Collaborative Environment through Projects in HPE OneSphere</w:t>
      </w:r>
      <w:bookmarkEnd w:id="16"/>
    </w:p>
    <w:p w14:paraId="33725E38" w14:textId="77777777" w:rsidR="00D24A4B" w:rsidRPr="0053472A" w:rsidRDefault="00D24A4B" w:rsidP="00D24A4B">
      <w:pPr>
        <w:spacing w:after="120" w:line="240" w:lineRule="auto"/>
        <w:rPr>
          <w:rFonts w:ascii="Arial" w:eastAsia="PMingLiU" w:hAnsi="Arial" w:cs="Times New Roman"/>
          <w:color w:val="000000"/>
          <w:szCs w:val="20"/>
        </w:rPr>
      </w:pPr>
      <w:r w:rsidRPr="0053472A">
        <w:rPr>
          <w:rFonts w:ascii="Arial" w:eastAsia="PMingLiU" w:hAnsi="Arial" w:cs="Times New Roman"/>
          <w:color w:val="000000"/>
          <w:szCs w:val="20"/>
        </w:rPr>
        <w:t>HPE OneSphere uses the concept of projects, an abstract grouping of members or users that is used to control access to cloud services and compute resources. A project can also be identified by the set of resources that is assigned to a group of members. They define a logical boundary for the users to operate within. It also helps IT teams to manage access permissions for a set of users by grouping them under a project. HPE OneSphere can further provide detailed usage information pertaining to one or more projects.</w:t>
      </w:r>
    </w:p>
    <w:p w14:paraId="4595502D" w14:textId="77777777" w:rsidR="00D24A4B" w:rsidRPr="0053472A" w:rsidRDefault="00D24A4B" w:rsidP="00D24A4B">
      <w:pPr>
        <w:pStyle w:val="Heading50"/>
      </w:pPr>
      <w:bookmarkStart w:id="17" w:name="_Toc517422379"/>
      <w:r w:rsidRPr="0053472A">
        <w:lastRenderedPageBreak/>
        <w:t>Flexible Pricing</w:t>
      </w:r>
      <w:bookmarkEnd w:id="17"/>
    </w:p>
    <w:p w14:paraId="0C31B348" w14:textId="77777777" w:rsidR="00D24A4B" w:rsidRPr="0053472A" w:rsidRDefault="00D24A4B" w:rsidP="00D24A4B">
      <w:pPr>
        <w:spacing w:after="120" w:line="240" w:lineRule="auto"/>
        <w:rPr>
          <w:rFonts w:ascii="Arial" w:eastAsia="PMingLiU" w:hAnsi="Arial" w:cs="Times New Roman"/>
          <w:color w:val="000000"/>
          <w:szCs w:val="20"/>
        </w:rPr>
      </w:pPr>
      <w:r w:rsidRPr="0053472A">
        <w:rPr>
          <w:rFonts w:ascii="Arial" w:eastAsia="PMingLiU" w:hAnsi="Arial" w:cs="Times New Roman"/>
          <w:bCs/>
          <w:color w:val="000000"/>
          <w:szCs w:val="20"/>
        </w:rPr>
        <w:t xml:space="preserve">Hewlett Packard Enterprise </w:t>
      </w:r>
      <w:r w:rsidRPr="0053472A">
        <w:rPr>
          <w:rFonts w:ascii="Arial" w:eastAsia="PMingLiU" w:hAnsi="Arial" w:cs="Times New Roman"/>
          <w:color w:val="000000"/>
          <w:szCs w:val="20"/>
        </w:rPr>
        <w:t>helps customers to align cost and demand through its subscription-based pricing for HPE OneSphere. And for the composable infrastructure, HPE provides a flexible, pay-as-you-go pricing.</w:t>
      </w:r>
    </w:p>
    <w:p w14:paraId="69B777F8" w14:textId="77777777" w:rsidR="00D24A4B" w:rsidRPr="0053472A" w:rsidRDefault="00D24A4B" w:rsidP="00D24A4B">
      <w:pPr>
        <w:pStyle w:val="Heading50"/>
      </w:pPr>
      <w:bookmarkStart w:id="18" w:name="_Toc517422380"/>
      <w:r w:rsidRPr="0053472A">
        <w:t>Proven HPE Pointnext Consulting for Accelerated Results</w:t>
      </w:r>
      <w:bookmarkEnd w:id="18"/>
    </w:p>
    <w:p w14:paraId="3E824261" w14:textId="77777777" w:rsidR="00D24A4B" w:rsidRPr="0053472A" w:rsidRDefault="00D24A4B" w:rsidP="00D24A4B">
      <w:pPr>
        <w:spacing w:after="120" w:line="240" w:lineRule="auto"/>
        <w:rPr>
          <w:rFonts w:ascii="Arial" w:eastAsia="PMingLiU" w:hAnsi="Arial" w:cs="Times New Roman"/>
          <w:color w:val="000000"/>
          <w:szCs w:val="20"/>
        </w:rPr>
      </w:pPr>
      <w:r w:rsidRPr="0053472A">
        <w:rPr>
          <w:rFonts w:ascii="Arial" w:eastAsia="PMingLiU" w:hAnsi="Arial" w:cs="Times New Roman"/>
          <w:color w:val="000000"/>
          <w:szCs w:val="20"/>
        </w:rPr>
        <w:t xml:space="preserve">To accelerate time to value for HPE OneSphere, </w:t>
      </w:r>
      <w:r w:rsidRPr="0053472A">
        <w:rPr>
          <w:rFonts w:ascii="Arial" w:eastAsia="PMingLiU" w:hAnsi="Arial" w:cs="Times New Roman"/>
          <w:bCs/>
          <w:color w:val="000000"/>
          <w:szCs w:val="20"/>
        </w:rPr>
        <w:t xml:space="preserve">HPE Pointnext </w:t>
      </w:r>
      <w:r w:rsidRPr="0053472A">
        <w:rPr>
          <w:rFonts w:ascii="Arial" w:eastAsia="PMingLiU" w:hAnsi="Arial" w:cs="Times New Roman"/>
          <w:color w:val="000000"/>
          <w:szCs w:val="20"/>
        </w:rPr>
        <w:t>provides a high-level priority road map outlining key Hybrid IT business goals and next steps. Finally, a portfolio of options is available for enhanced call handling and expert support to provide the reliability, serviceability, and near-continuous availability of the multi-cloud environment.</w:t>
      </w:r>
    </w:p>
    <w:p w14:paraId="2639628D" w14:textId="77777777" w:rsidR="00D24A4B" w:rsidRPr="0053472A" w:rsidRDefault="00D24A4B" w:rsidP="00D24A4B">
      <w:pPr>
        <w:pStyle w:val="Heading50"/>
      </w:pPr>
      <w:bookmarkStart w:id="19" w:name="_Toc517422382"/>
      <w:r w:rsidRPr="0053472A">
        <w:t>HPE OneSphere Features</w:t>
      </w:r>
      <w:bookmarkEnd w:id="19"/>
      <w:r w:rsidRPr="0053472A">
        <w:t xml:space="preserve"> </w:t>
      </w:r>
    </w:p>
    <w:p w14:paraId="02867080" w14:textId="77777777" w:rsidR="00D24A4B" w:rsidRPr="0053472A" w:rsidRDefault="00D24A4B" w:rsidP="00D24A4B">
      <w:pPr>
        <w:pStyle w:val="Heading60"/>
      </w:pPr>
      <w:r w:rsidRPr="0053472A">
        <w:t>Multiple Cloud Support and Analytics</w:t>
      </w:r>
    </w:p>
    <w:p w14:paraId="7A969798" w14:textId="77777777" w:rsidR="00D24A4B" w:rsidRPr="0053472A" w:rsidRDefault="00D24A4B" w:rsidP="00D24A4B">
      <w:pPr>
        <w:pStyle w:val="Bullet1Double"/>
        <w:numPr>
          <w:ilvl w:val="0"/>
          <w:numId w:val="9"/>
        </w:numPr>
        <w:tabs>
          <w:tab w:val="clear" w:pos="0"/>
        </w:tabs>
        <w:ind w:left="360" w:hanging="360"/>
      </w:pPr>
      <w:r w:rsidRPr="0053472A">
        <w:t>Provides cross-cloud (on- and off-premises) resource pool</w:t>
      </w:r>
    </w:p>
    <w:p w14:paraId="7E428BCB" w14:textId="77777777" w:rsidR="00D24A4B" w:rsidRPr="0053472A" w:rsidRDefault="00D24A4B" w:rsidP="00D24A4B">
      <w:pPr>
        <w:pStyle w:val="Bullet1Double"/>
        <w:numPr>
          <w:ilvl w:val="0"/>
          <w:numId w:val="9"/>
        </w:numPr>
        <w:tabs>
          <w:tab w:val="clear" w:pos="0"/>
        </w:tabs>
        <w:ind w:left="360" w:hanging="360"/>
      </w:pPr>
      <w:r w:rsidRPr="0053472A">
        <w:t>Enables cross-cloud resource utilization reporting</w:t>
      </w:r>
    </w:p>
    <w:p w14:paraId="59F9D8F7" w14:textId="77777777" w:rsidR="00D24A4B" w:rsidRPr="0053472A" w:rsidRDefault="00D24A4B" w:rsidP="00D24A4B">
      <w:pPr>
        <w:pStyle w:val="Bullet1Double"/>
        <w:numPr>
          <w:ilvl w:val="0"/>
          <w:numId w:val="9"/>
        </w:numPr>
        <w:tabs>
          <w:tab w:val="clear" w:pos="0"/>
        </w:tabs>
        <w:ind w:left="360" w:hanging="360"/>
      </w:pPr>
      <w:r w:rsidRPr="0053472A">
        <w:t>Delivers visibility to on-premises and public cloud usage costs</w:t>
      </w:r>
    </w:p>
    <w:p w14:paraId="61055D10" w14:textId="77777777" w:rsidR="00D24A4B" w:rsidRPr="0053472A" w:rsidRDefault="00D24A4B" w:rsidP="00D24A4B">
      <w:pPr>
        <w:pStyle w:val="Bullet1Double"/>
        <w:numPr>
          <w:ilvl w:val="0"/>
          <w:numId w:val="9"/>
        </w:numPr>
        <w:tabs>
          <w:tab w:val="clear" w:pos="0"/>
        </w:tabs>
        <w:ind w:left="360" w:hanging="360"/>
      </w:pPr>
      <w:r w:rsidRPr="0053472A">
        <w:t>Provides consumption based on one-, three-, or five-year subscription</w:t>
      </w:r>
    </w:p>
    <w:p w14:paraId="25D006C8" w14:textId="77777777" w:rsidR="00D24A4B" w:rsidRPr="0053472A" w:rsidRDefault="00D24A4B" w:rsidP="00D24A4B">
      <w:pPr>
        <w:pStyle w:val="Heading60"/>
      </w:pPr>
      <w:r w:rsidRPr="0053472A">
        <w:t>Fast App Development</w:t>
      </w:r>
    </w:p>
    <w:p w14:paraId="38A0E393" w14:textId="77777777" w:rsidR="00D24A4B" w:rsidRPr="0053472A" w:rsidRDefault="00D24A4B" w:rsidP="00D24A4B">
      <w:pPr>
        <w:pStyle w:val="Bullet1Double"/>
        <w:numPr>
          <w:ilvl w:val="0"/>
          <w:numId w:val="9"/>
        </w:numPr>
        <w:tabs>
          <w:tab w:val="clear" w:pos="0"/>
        </w:tabs>
        <w:ind w:left="360" w:hanging="360"/>
      </w:pPr>
      <w:r w:rsidRPr="0053472A">
        <w:t>Enables self-service infrastructure provisioning</w:t>
      </w:r>
    </w:p>
    <w:p w14:paraId="0F474BBB" w14:textId="77777777" w:rsidR="00D24A4B" w:rsidRPr="0053472A" w:rsidRDefault="00D24A4B" w:rsidP="00D24A4B">
      <w:pPr>
        <w:pStyle w:val="Bullet1Double"/>
        <w:numPr>
          <w:ilvl w:val="0"/>
          <w:numId w:val="9"/>
        </w:numPr>
        <w:tabs>
          <w:tab w:val="clear" w:pos="0"/>
        </w:tabs>
        <w:ind w:left="360" w:hanging="360"/>
      </w:pPr>
      <w:r w:rsidRPr="0053472A">
        <w:t>Provides project-based resource access and management</w:t>
      </w:r>
    </w:p>
    <w:p w14:paraId="3D3109CB" w14:textId="77777777" w:rsidR="00D24A4B" w:rsidRPr="0053472A" w:rsidRDefault="00D24A4B" w:rsidP="00D24A4B">
      <w:pPr>
        <w:pStyle w:val="Bullet1Double"/>
        <w:numPr>
          <w:ilvl w:val="0"/>
          <w:numId w:val="9"/>
        </w:numPr>
        <w:tabs>
          <w:tab w:val="clear" w:pos="0"/>
        </w:tabs>
        <w:ind w:left="360" w:hanging="360"/>
      </w:pPr>
      <w:r w:rsidRPr="0053472A">
        <w:t>Allows access tools, templates, and services via service catalogs</w:t>
      </w:r>
    </w:p>
    <w:p w14:paraId="1D5187D1" w14:textId="77777777" w:rsidR="00D24A4B" w:rsidRPr="0053472A" w:rsidRDefault="00D24A4B" w:rsidP="00D24A4B">
      <w:pPr>
        <w:pStyle w:val="Bullet1Double"/>
        <w:numPr>
          <w:ilvl w:val="0"/>
          <w:numId w:val="9"/>
        </w:numPr>
        <w:tabs>
          <w:tab w:val="clear" w:pos="0"/>
        </w:tabs>
        <w:ind w:left="360" w:hanging="360"/>
      </w:pPr>
      <w:r w:rsidRPr="0053472A">
        <w:t>Provides use of existing developer tools and orchestration scripts</w:t>
      </w:r>
    </w:p>
    <w:p w14:paraId="5BD412F3" w14:textId="77777777" w:rsidR="00D24A4B" w:rsidRPr="0053472A" w:rsidRDefault="00D24A4B" w:rsidP="00D24A4B">
      <w:pPr>
        <w:pStyle w:val="Bullet1Double"/>
        <w:numPr>
          <w:ilvl w:val="0"/>
          <w:numId w:val="9"/>
        </w:numPr>
        <w:tabs>
          <w:tab w:val="clear" w:pos="0"/>
        </w:tabs>
        <w:ind w:left="360" w:hanging="360"/>
      </w:pPr>
      <w:r w:rsidRPr="0053472A">
        <w:t>Stands up private clouds and connect to public clouds in minutes</w:t>
      </w:r>
    </w:p>
    <w:p w14:paraId="71E7CCB1" w14:textId="77777777" w:rsidR="00D24A4B" w:rsidRPr="0053472A" w:rsidRDefault="00D24A4B" w:rsidP="00D24A4B">
      <w:pPr>
        <w:pStyle w:val="Heading60"/>
      </w:pPr>
      <w:r w:rsidRPr="0053472A">
        <w:t>“As-a-service” Approach</w:t>
      </w:r>
    </w:p>
    <w:p w14:paraId="64A48907" w14:textId="77777777" w:rsidR="00D24A4B" w:rsidRPr="0053472A" w:rsidRDefault="00D24A4B" w:rsidP="00D24A4B">
      <w:pPr>
        <w:pStyle w:val="Bullet1Double"/>
        <w:numPr>
          <w:ilvl w:val="0"/>
          <w:numId w:val="9"/>
        </w:numPr>
        <w:tabs>
          <w:tab w:val="clear" w:pos="0"/>
        </w:tabs>
        <w:ind w:left="360" w:hanging="360"/>
      </w:pPr>
      <w:r w:rsidRPr="0053472A">
        <w:t>Reduces operational cost with software-as-a-service (SaaS)-based control plane</w:t>
      </w:r>
    </w:p>
    <w:p w14:paraId="1729AC95" w14:textId="77777777" w:rsidR="00D24A4B" w:rsidRPr="0053472A" w:rsidRDefault="00D24A4B" w:rsidP="00D24A4B">
      <w:pPr>
        <w:pStyle w:val="Bullet1Double"/>
        <w:numPr>
          <w:ilvl w:val="0"/>
          <w:numId w:val="9"/>
        </w:numPr>
        <w:tabs>
          <w:tab w:val="clear" w:pos="0"/>
        </w:tabs>
        <w:ind w:left="360" w:hanging="360"/>
      </w:pPr>
      <w:r w:rsidRPr="0053472A">
        <w:t>Integrates existing VM resources as a private cloud option</w:t>
      </w:r>
    </w:p>
    <w:p w14:paraId="34CE9E35" w14:textId="77777777" w:rsidR="00D24A4B" w:rsidRPr="0053472A" w:rsidRDefault="00D24A4B" w:rsidP="00D24A4B">
      <w:pPr>
        <w:pStyle w:val="Bullet1Double"/>
        <w:numPr>
          <w:ilvl w:val="0"/>
          <w:numId w:val="9"/>
        </w:numPr>
        <w:tabs>
          <w:tab w:val="clear" w:pos="0"/>
        </w:tabs>
        <w:ind w:left="360" w:hanging="360"/>
      </w:pPr>
      <w:r w:rsidRPr="0053472A">
        <w:t>Reduces active hands-on operations for hardware, firmware, and VMware</w:t>
      </w:r>
      <w:r w:rsidRPr="0053472A">
        <w:rPr>
          <w:vertAlign w:val="superscript"/>
        </w:rPr>
        <w:t>®</w:t>
      </w:r>
      <w:r w:rsidRPr="0053472A">
        <w:t xml:space="preserve"> ESXi</w:t>
      </w:r>
      <w:r w:rsidRPr="0053472A">
        <w:rPr>
          <w:vertAlign w:val="superscript"/>
        </w:rPr>
        <w:t>™</w:t>
      </w:r>
      <w:r w:rsidRPr="0053472A">
        <w:t xml:space="preserve"> lifecycle management</w:t>
      </w:r>
    </w:p>
    <w:p w14:paraId="75981511" w14:textId="77777777" w:rsidR="00D24A4B" w:rsidRPr="0053472A" w:rsidRDefault="00D24A4B" w:rsidP="00D24A4B">
      <w:pPr>
        <w:pStyle w:val="Bullet1Double"/>
        <w:numPr>
          <w:ilvl w:val="0"/>
          <w:numId w:val="9"/>
        </w:numPr>
        <w:tabs>
          <w:tab w:val="clear" w:pos="0"/>
        </w:tabs>
        <w:ind w:left="360" w:hanging="360"/>
      </w:pPr>
      <w:r w:rsidRPr="0053472A">
        <w:t>Provides on-demand provisioning</w:t>
      </w:r>
    </w:p>
    <w:p w14:paraId="666D27C2" w14:textId="77777777" w:rsidR="00D24A4B" w:rsidRPr="0053472A" w:rsidRDefault="00D24A4B" w:rsidP="00D24A4B">
      <w:pPr>
        <w:pStyle w:val="Heading60"/>
      </w:pPr>
      <w:r w:rsidRPr="0053472A">
        <w:t>Resource Utilization and Cost Analytics</w:t>
      </w:r>
    </w:p>
    <w:p w14:paraId="049B1D9D" w14:textId="77777777" w:rsidR="00D24A4B" w:rsidRPr="0053472A" w:rsidRDefault="00D24A4B" w:rsidP="00D24A4B">
      <w:pPr>
        <w:pStyle w:val="Bullet1Double"/>
        <w:numPr>
          <w:ilvl w:val="0"/>
          <w:numId w:val="9"/>
        </w:numPr>
        <w:tabs>
          <w:tab w:val="clear" w:pos="0"/>
        </w:tabs>
        <w:ind w:left="360" w:hanging="360"/>
      </w:pPr>
      <w:r w:rsidRPr="0053472A">
        <w:t>Collects, tags, and displays usage metrics for deployed resources</w:t>
      </w:r>
    </w:p>
    <w:p w14:paraId="4DCBC53C" w14:textId="77777777" w:rsidR="00D24A4B" w:rsidRPr="0053472A" w:rsidRDefault="00D24A4B" w:rsidP="00D24A4B">
      <w:pPr>
        <w:pStyle w:val="Bullet1Double"/>
        <w:numPr>
          <w:ilvl w:val="0"/>
          <w:numId w:val="9"/>
        </w:numPr>
        <w:tabs>
          <w:tab w:val="clear" w:pos="0"/>
        </w:tabs>
        <w:ind w:left="360" w:hanging="360"/>
      </w:pPr>
      <w:r w:rsidRPr="0053472A">
        <w:t>Deploys resources with customer-provided metadata tags</w:t>
      </w:r>
    </w:p>
    <w:p w14:paraId="1D5A674A" w14:textId="77777777" w:rsidR="00D24A4B" w:rsidRPr="0053472A" w:rsidRDefault="00D24A4B" w:rsidP="00D24A4B">
      <w:pPr>
        <w:pStyle w:val="Bullet1Double"/>
        <w:numPr>
          <w:ilvl w:val="0"/>
          <w:numId w:val="9"/>
        </w:numPr>
        <w:tabs>
          <w:tab w:val="clear" w:pos="0"/>
        </w:tabs>
        <w:ind w:left="360" w:hanging="360"/>
      </w:pPr>
      <w:r w:rsidRPr="0053472A">
        <w:t>Provides month-to-date and previous month usage costs for both private and public cloud providers</w:t>
      </w:r>
    </w:p>
    <w:p w14:paraId="30394937" w14:textId="77777777" w:rsidR="00D24A4B" w:rsidRPr="0053472A" w:rsidRDefault="00D24A4B" w:rsidP="00D24A4B">
      <w:pPr>
        <w:pStyle w:val="Bullet1Double"/>
        <w:numPr>
          <w:ilvl w:val="0"/>
          <w:numId w:val="9"/>
        </w:numPr>
        <w:tabs>
          <w:tab w:val="clear" w:pos="0"/>
        </w:tabs>
        <w:ind w:left="360" w:hanging="360"/>
      </w:pPr>
      <w:r w:rsidRPr="0053472A">
        <w:t>Provides customizable default private cloud cost rates</w:t>
      </w:r>
    </w:p>
    <w:p w14:paraId="20BA99D3" w14:textId="77777777" w:rsidR="00D24A4B" w:rsidRPr="0053472A" w:rsidRDefault="00D24A4B" w:rsidP="00D24A4B">
      <w:pPr>
        <w:pStyle w:val="Bullet1Double"/>
        <w:numPr>
          <w:ilvl w:val="0"/>
          <w:numId w:val="9"/>
        </w:numPr>
        <w:tabs>
          <w:tab w:val="clear" w:pos="0"/>
        </w:tabs>
        <w:ind w:left="360" w:hanging="360"/>
      </w:pPr>
      <w:r w:rsidRPr="0053472A">
        <w:t>Provides access control at user and group levels for viewing usage and cost data</w:t>
      </w:r>
    </w:p>
    <w:p w14:paraId="31ABFB23" w14:textId="77777777" w:rsidR="00D24A4B" w:rsidRPr="00DB11B2" w:rsidRDefault="00D24A4B" w:rsidP="00D24A4B">
      <w:pPr>
        <w:pStyle w:val="Heading30"/>
        <w:rPr>
          <w:b w:val="0"/>
        </w:rPr>
      </w:pPr>
      <w:bookmarkStart w:id="20" w:name="_Toc518548587"/>
      <w:r w:rsidRPr="00DB11B2">
        <w:lastRenderedPageBreak/>
        <w:t>NASPO ValuePoint Cloud Solutions Primary Representative</w:t>
      </w:r>
      <w:bookmarkEnd w:id="20"/>
    </w:p>
    <w:p w14:paraId="2DCE2C22" w14:textId="77777777" w:rsidR="00D24A4B" w:rsidRPr="00B04D0D" w:rsidRDefault="00D24A4B" w:rsidP="00D24A4B">
      <w:pPr>
        <w:pStyle w:val="BodyText"/>
        <w:rPr>
          <w:b/>
        </w:rPr>
      </w:pPr>
      <w:r>
        <w:rPr>
          <w:b/>
          <w:bCs/>
        </w:rPr>
        <w:t xml:space="preserve">Master Agreement Manager - </w:t>
      </w:r>
      <w:r w:rsidRPr="00B04D0D">
        <w:rPr>
          <w:b/>
        </w:rPr>
        <w:t>Lauren Aloway</w:t>
      </w:r>
    </w:p>
    <w:p w14:paraId="597FD397" w14:textId="77777777" w:rsidR="00D24A4B" w:rsidRDefault="00D24A4B" w:rsidP="00D24A4B">
      <w:pPr>
        <w:pStyle w:val="BodyText"/>
      </w:pPr>
      <w:r>
        <w:t>In addition to access to HPE”s best technology with as-a-service economics, HPE brings a long history of IT management. From the first servers through today’s rapidly changing IT environment, HPE has the skills and resources to understand and meet the customer’s needs.  In addition to comprehensive consulting services for customer’s hybrid IT journey, HPE brings a wealth of NASPO ValuePoint contract management experience. HPE has held NASPO ValuePoint (formerly WSCA-NASPO) contracts for more than 20 years.</w:t>
      </w:r>
    </w:p>
    <w:p w14:paraId="17E52D63" w14:textId="77777777" w:rsidR="00D24A4B" w:rsidRDefault="00D24A4B" w:rsidP="00D24A4B">
      <w:pPr>
        <w:pStyle w:val="BodyText"/>
        <w:rPr>
          <w:rFonts w:eastAsia="Times New Roman" w:cs="Arial"/>
          <w:sz w:val="20"/>
        </w:rPr>
      </w:pPr>
      <w:r>
        <w:t>The Master Agreement Manager for this contract will be Lauren Aloway.  Lauren Aloway is based out of San Jose, California. Lauren has 8+ years managing NASPO ValuePoint contracts.</w:t>
      </w:r>
    </w:p>
    <w:p w14:paraId="4E0AE729" w14:textId="77777777" w:rsidR="00D24A4B" w:rsidRDefault="00D24A4B" w:rsidP="00D24A4B">
      <w:pPr>
        <w:pStyle w:val="BodyText"/>
      </w:pPr>
      <w:r>
        <w:t>HPE is committed to ensuring that the NASPO ValuePoint Cloud Solutions Master Agreement Administrator, participating states, all State and agency procurement officials, Directors and procuring agencies have an experienced Master Agreement Manager assigned to maintain and ensure contract compliance requirements and satisfaction.</w:t>
      </w:r>
    </w:p>
    <w:p w14:paraId="1352F294" w14:textId="77777777" w:rsidR="00D24A4B" w:rsidRDefault="00D24A4B" w:rsidP="00D24A4B">
      <w:pPr>
        <w:pStyle w:val="BodyText"/>
        <w:rPr>
          <w:rFonts w:cs="Arial"/>
          <w:lang w:val="en-GB"/>
        </w:rPr>
      </w:pPr>
      <w:r>
        <w:rPr>
          <w:rFonts w:cs="Arial"/>
        </w:rPr>
        <w:t>Lauren has ten years’ experience supporting State Governments, working in many different facets throughout her career learning the industry operations from beginning to end. Lauren has the ability, knowledge, leadership and problem solving skills to quickly resolve any issue that may arise from time to time.</w:t>
      </w:r>
    </w:p>
    <w:p w14:paraId="7030D3B5" w14:textId="77777777" w:rsidR="00D24A4B" w:rsidRDefault="00D24A4B" w:rsidP="00D24A4B">
      <w:pPr>
        <w:pStyle w:val="Bullet1Double0"/>
        <w:shd w:val="clear" w:color="auto" w:fill="DBDCDD"/>
      </w:pPr>
      <w:r>
        <w:t>B.</w:t>
      </w:r>
      <w:r>
        <w:tab/>
        <w:t>A specific point-by-point response, in the order listed, to each requirement in the Section 8 of the RFP. Offerors should not provide links to a website as part of its response.</w:t>
      </w:r>
    </w:p>
    <w:p w14:paraId="1C36AC95" w14:textId="77777777" w:rsidR="00D24A4B" w:rsidRDefault="00D24A4B" w:rsidP="00D24A4B">
      <w:pPr>
        <w:pStyle w:val="BodyText0"/>
      </w:pPr>
      <w:r>
        <w:t>Offeror’s should focus their proposals on the technical qualifications and capabilities described in the RFP. Offerors should not include sales brochures as part of their response.</w:t>
      </w:r>
    </w:p>
    <w:p w14:paraId="7887A445" w14:textId="77777777" w:rsidR="00D24A4B" w:rsidRDefault="00D24A4B" w:rsidP="00D24A4B">
      <w:pPr>
        <w:pStyle w:val="Response"/>
      </w:pPr>
      <w:r>
        <w:t xml:space="preserve">Response: </w:t>
      </w:r>
    </w:p>
    <w:p w14:paraId="06B5EA99" w14:textId="77777777" w:rsidR="00D24A4B" w:rsidRPr="00AF77DB" w:rsidRDefault="00D24A4B" w:rsidP="00D24A4B">
      <w:pPr>
        <w:pStyle w:val="BodyText"/>
      </w:pPr>
      <w:r>
        <w:t>Please refer to HPE’s point-by-point responses beginning on the following page.</w:t>
      </w:r>
    </w:p>
    <w:p w14:paraId="0BF5A90E" w14:textId="77777777" w:rsidR="00D24A4B" w:rsidRDefault="00D24A4B" w:rsidP="00D24A4B">
      <w:pPr>
        <w:pStyle w:val="BodyText0"/>
      </w:pPr>
      <w:r>
        <w:t>If applicable to an Offeror’s Solution, an Offeror must provide a point by point response to each technical requirement demonstrating its technical capabilities. If a technical requirement is not applicable to an Offeror’s Solution then the Offeror must explain why the technical requirement is not applicable.</w:t>
      </w:r>
    </w:p>
    <w:p w14:paraId="6A633DC6" w14:textId="77777777" w:rsidR="00D24A4B" w:rsidRDefault="00D24A4B" w:rsidP="00D24A4B">
      <w:pPr>
        <w:pStyle w:val="BodyText0"/>
      </w:pPr>
      <w:r>
        <w:t xml:space="preserve">If an Offeror’s proposal contains more than one Solution (i.e., SaaS and PaaS) then the Offeror must provide a response for each Solution. However, Offerors do not need to submit a proposal for each Solution. </w:t>
      </w:r>
    </w:p>
    <w:p w14:paraId="7C45BDE7" w14:textId="77777777" w:rsidR="00D24A4B" w:rsidRDefault="00D24A4B" w:rsidP="00D24A4B">
      <w:pPr>
        <w:pStyle w:val="Response"/>
      </w:pPr>
      <w:r>
        <w:t>Response:</w:t>
      </w:r>
    </w:p>
    <w:p w14:paraId="1A93331E" w14:textId="77777777" w:rsidR="00D24A4B" w:rsidRDefault="00D24A4B" w:rsidP="00D24A4B">
      <w:pPr>
        <w:pStyle w:val="BodyText"/>
      </w:pPr>
      <w:r>
        <w:t>HPE understands and agrees to provide a point-by-point response for each Solution.</w:t>
      </w:r>
    </w:p>
    <w:p w14:paraId="1C1CC477" w14:textId="77777777" w:rsidR="00D24A4B" w:rsidRDefault="00D24A4B" w:rsidP="00D24A4B">
      <w:pPr>
        <w:spacing w:after="0" w:line="240" w:lineRule="auto"/>
        <w:rPr>
          <w:rFonts w:ascii="Arial" w:eastAsia="PMingLiU" w:hAnsi="Arial" w:cs="Arial"/>
          <w:b/>
          <w:sz w:val="32"/>
          <w:szCs w:val="24"/>
        </w:rPr>
      </w:pPr>
      <w:r>
        <w:br w:type="page"/>
      </w:r>
    </w:p>
    <w:p w14:paraId="16A9D669" w14:textId="77777777" w:rsidR="00D24A4B" w:rsidRDefault="00D24A4B" w:rsidP="00D24A4B">
      <w:pPr>
        <w:pStyle w:val="BodyText"/>
        <w:sectPr w:rsidR="00D24A4B" w:rsidSect="003435FF">
          <w:headerReference w:type="default" r:id="rId22"/>
          <w:footerReference w:type="default" r:id="rId23"/>
          <w:pgSz w:w="12242" w:h="15842" w:code="1"/>
          <w:pgMar w:top="360" w:right="720" w:bottom="1080" w:left="2664" w:header="475" w:footer="720" w:gutter="0"/>
          <w:cols w:space="720"/>
          <w:docGrid w:linePitch="299"/>
        </w:sectPr>
      </w:pPr>
    </w:p>
    <w:p w14:paraId="0C933112" w14:textId="77777777" w:rsidR="00D24A4B" w:rsidRDefault="00D24A4B" w:rsidP="00D24A4B">
      <w:pPr>
        <w:pStyle w:val="Heading30"/>
        <w:ind w:left="720" w:hanging="720"/>
      </w:pPr>
      <w:bookmarkStart w:id="21" w:name="_Toc514418388"/>
      <w:bookmarkStart w:id="22" w:name="_Toc518548588"/>
      <w:r>
        <w:lastRenderedPageBreak/>
        <w:t>8.1</w:t>
      </w:r>
      <w:r>
        <w:tab/>
      </w:r>
      <w:bookmarkEnd w:id="21"/>
      <w:r>
        <w:t xml:space="preserve">(M)(E) Technical Requirements </w:t>
      </w:r>
      <w:r w:rsidRPr="00AF60A1">
        <w:t>GreenLake Flex Capacity Packages</w:t>
      </w:r>
      <w:bookmarkEnd w:id="22"/>
    </w:p>
    <w:p w14:paraId="05CE387D" w14:textId="77777777" w:rsidR="00D24A4B" w:rsidRDefault="00D24A4B" w:rsidP="00D24A4B">
      <w:pPr>
        <w:pStyle w:val="Response"/>
        <w:shd w:val="clear" w:color="auto" w:fill="E2EFD9" w:themeFill="accent6" w:themeFillTint="33"/>
        <w:rPr>
          <w:b w:val="0"/>
          <w:i w:val="0"/>
        </w:rPr>
      </w:pPr>
      <w:r w:rsidRPr="006A56C3">
        <w:rPr>
          <w:b w:val="0"/>
          <w:i w:val="0"/>
        </w:rPr>
        <w:t xml:space="preserve">HPE </w:t>
      </w:r>
      <w:r>
        <w:rPr>
          <w:b w:val="0"/>
          <w:i w:val="0"/>
        </w:rPr>
        <w:t>hybrid cloud</w:t>
      </w:r>
      <w:r w:rsidRPr="006A56C3">
        <w:rPr>
          <w:b w:val="0"/>
          <w:i w:val="0"/>
        </w:rPr>
        <w:t xml:space="preserve"> solution is a fully integrated system that delivers Azure compatible, software defined Infrastructure-as-a-Service (IaaS), Platform-as-a-Service (PaaS) on HPE hardware and Software-as-a-Service (SaaS) on Microso</w:t>
      </w:r>
      <w:r>
        <w:rPr>
          <w:b w:val="0"/>
          <w:i w:val="0"/>
        </w:rPr>
        <w:t>ft’ Azure public cloud is a</w:t>
      </w:r>
      <w:r w:rsidRPr="006A56C3">
        <w:t xml:space="preserve"> </w:t>
      </w:r>
      <w:r>
        <w:rPr>
          <w:b w:val="0"/>
          <w:i w:val="0"/>
        </w:rPr>
        <w:t>s</w:t>
      </w:r>
      <w:r w:rsidRPr="006A56C3">
        <w:rPr>
          <w:b w:val="0"/>
          <w:i w:val="0"/>
        </w:rPr>
        <w:t>uperior offering</w:t>
      </w:r>
      <w:r>
        <w:rPr>
          <w:b w:val="0"/>
          <w:i w:val="0"/>
        </w:rPr>
        <w:t xml:space="preserve"> </w:t>
      </w:r>
      <w:r w:rsidRPr="00EC738A">
        <w:rPr>
          <w:b w:val="0"/>
          <w:i w:val="0"/>
        </w:rPr>
        <w:t xml:space="preserve">for </w:t>
      </w:r>
      <w:r>
        <w:rPr>
          <w:b w:val="0"/>
          <w:i w:val="0"/>
        </w:rPr>
        <w:t>Purchasing Entity:</w:t>
      </w:r>
    </w:p>
    <w:p w14:paraId="5359C8AF" w14:textId="77777777" w:rsidR="00D24A4B" w:rsidRDefault="00D24A4B" w:rsidP="00486253">
      <w:pPr>
        <w:pStyle w:val="BodyText"/>
        <w:numPr>
          <w:ilvl w:val="0"/>
          <w:numId w:val="37"/>
        </w:numPr>
        <w:shd w:val="clear" w:color="auto" w:fill="E2EFD9" w:themeFill="accent6" w:themeFillTint="33"/>
      </w:pPr>
      <w:r>
        <w:t xml:space="preserve">Meets the </w:t>
      </w:r>
      <w:r w:rsidRPr="00872583">
        <w:t xml:space="preserve">NIST Special Publication 800-145 requirements </w:t>
      </w:r>
      <w:r>
        <w:t>for the five E</w:t>
      </w:r>
      <w:r w:rsidRPr="00872583">
        <w:t>ssential</w:t>
      </w:r>
      <w:r>
        <w:t xml:space="preserve"> Characteristics</w:t>
      </w:r>
    </w:p>
    <w:p w14:paraId="3674C109" w14:textId="77777777" w:rsidR="00D24A4B" w:rsidRDefault="00D24A4B" w:rsidP="00486253">
      <w:pPr>
        <w:pStyle w:val="BodyText"/>
        <w:numPr>
          <w:ilvl w:val="0"/>
          <w:numId w:val="37"/>
        </w:numPr>
        <w:shd w:val="clear" w:color="auto" w:fill="E2EFD9" w:themeFill="accent6" w:themeFillTint="33"/>
      </w:pPr>
      <w:r>
        <w:t xml:space="preserve">Delivers IaaS, PaaS and SaaS of the </w:t>
      </w:r>
      <w:r w:rsidRPr="00872583">
        <w:t>NIST Special Publication 800-145 Service Models</w:t>
      </w:r>
    </w:p>
    <w:p w14:paraId="381E397B" w14:textId="77777777" w:rsidR="00D24A4B" w:rsidRPr="00E6414A" w:rsidRDefault="00D24A4B" w:rsidP="00486253">
      <w:pPr>
        <w:pStyle w:val="BodyText"/>
        <w:numPr>
          <w:ilvl w:val="0"/>
          <w:numId w:val="37"/>
        </w:numPr>
        <w:shd w:val="clear" w:color="auto" w:fill="E2EFD9" w:themeFill="accent6" w:themeFillTint="33"/>
      </w:pPr>
      <w:r w:rsidRPr="00872583">
        <w:t>Delivers Private cloud</w:t>
      </w:r>
      <w:r>
        <w:t xml:space="preserve"> with options for </w:t>
      </w:r>
      <w:r w:rsidRPr="00872583">
        <w:t>Hybrid cloud</w:t>
      </w:r>
      <w:r>
        <w:t xml:space="preserve"> and </w:t>
      </w:r>
      <w:r w:rsidRPr="00872583">
        <w:t>Public cloud</w:t>
      </w:r>
      <w:r>
        <w:t xml:space="preserve"> </w:t>
      </w:r>
      <w:r w:rsidRPr="00872583">
        <w:t>of the N</w:t>
      </w:r>
      <w:r>
        <w:t xml:space="preserve">IST Special Publication 800-145 </w:t>
      </w:r>
      <w:r w:rsidRPr="00872583">
        <w:t>Deployment Models</w:t>
      </w:r>
    </w:p>
    <w:p w14:paraId="7A8FFAE6" w14:textId="77777777" w:rsidR="00D24A4B" w:rsidRDefault="00D24A4B" w:rsidP="00D24A4B">
      <w:pPr>
        <w:pStyle w:val="Bullet1Double0"/>
        <w:shd w:val="clear" w:color="auto" w:fill="DBDCDD"/>
        <w:ind w:left="720" w:hanging="720"/>
      </w:pPr>
      <w:r>
        <w:t>8.1.1</w:t>
      </w:r>
      <w:r>
        <w:tab/>
        <w:t>For the purposes of the RFP, meeting the NIST essential characteristics is a primary concern. As such, describe how your proposed solution(s) meet the characteristics defined in NIST Special Publication 800-145.</w:t>
      </w:r>
    </w:p>
    <w:p w14:paraId="009933E2" w14:textId="77777777" w:rsidR="00D24A4B" w:rsidRDefault="00D24A4B" w:rsidP="00D24A4B">
      <w:pPr>
        <w:pStyle w:val="Response"/>
      </w:pPr>
      <w:r>
        <w:t>Response:</w:t>
      </w:r>
    </w:p>
    <w:p w14:paraId="10680EFD" w14:textId="77777777" w:rsidR="00D24A4B" w:rsidRDefault="00D24A4B" w:rsidP="00D24A4B">
      <w:pPr>
        <w:pStyle w:val="BodyText"/>
      </w:pPr>
      <w:r w:rsidRPr="00392EF6">
        <w:t xml:space="preserve">HPE GreenLake </w:t>
      </w:r>
      <w:r w:rsidRPr="00AF60A1">
        <w:t xml:space="preserve">Flex Capacity Packages </w:t>
      </w:r>
      <w:r>
        <w:t>are</w:t>
      </w:r>
      <w:r w:rsidRPr="00392EF6">
        <w:t xml:space="preserve"> an </w:t>
      </w:r>
      <w:r>
        <w:t xml:space="preserve">on </w:t>
      </w:r>
      <w:r w:rsidRPr="00117430">
        <w:t xml:space="preserve">premise </w:t>
      </w:r>
      <w:r w:rsidRPr="00392EF6">
        <w:t xml:space="preserve">Infrastructure-as-a-Service </w:t>
      </w:r>
      <w:r w:rsidRPr="00AF60A1">
        <w:t>offering</w:t>
      </w:r>
      <w:r>
        <w:t xml:space="preserve">, </w:t>
      </w:r>
      <w:r w:rsidRPr="00AF60A1">
        <w:t>GreenLake ProLiant for Microsoft Azure Stack</w:t>
      </w:r>
      <w:r>
        <w:t xml:space="preserve"> is an </w:t>
      </w:r>
      <w:r w:rsidRPr="00AF60A1">
        <w:t xml:space="preserve">Infrastructure-as-a-Service </w:t>
      </w:r>
      <w:r>
        <w:t xml:space="preserve">and Platform-as-a-Service </w:t>
      </w:r>
      <w:r w:rsidRPr="00392EF6">
        <w:t>offering</w:t>
      </w:r>
      <w:r>
        <w:t xml:space="preserve">, and </w:t>
      </w:r>
      <w:r w:rsidRPr="003857C5">
        <w:t>Microsoft Azure</w:t>
      </w:r>
      <w:r>
        <w:t xml:space="preserve"> Office 365 and OneSphere are an</w:t>
      </w:r>
      <w:r w:rsidRPr="003857C5">
        <w:t xml:space="preserve"> </w:t>
      </w:r>
      <w:r>
        <w:t>Software-as-a-Service solution. GreenLake packages are</w:t>
      </w:r>
      <w:r w:rsidRPr="00392EF6">
        <w:t xml:space="preserve"> deployed as a private</w:t>
      </w:r>
      <w:r>
        <w:t>,</w:t>
      </w:r>
      <w:r w:rsidRPr="00392EF6">
        <w:t xml:space="preserve"> </w:t>
      </w:r>
      <w:r>
        <w:t>on premise cloud with hybrid capabilities to Azure public cloud</w:t>
      </w:r>
      <w:r w:rsidRPr="00392EF6">
        <w:t xml:space="preserve"> serv</w:t>
      </w:r>
      <w:r>
        <w:t>ices for</w:t>
      </w:r>
      <w:r w:rsidRPr="00392EF6">
        <w:t xml:space="preserve"> </w:t>
      </w:r>
      <w:r>
        <w:t xml:space="preserve">the </w:t>
      </w:r>
      <w:r w:rsidRPr="00392EF6">
        <w:t>Purchasing Entity</w:t>
      </w:r>
      <w:r>
        <w:t>’s</w:t>
      </w:r>
      <w:r w:rsidRPr="00392EF6">
        <w:t xml:space="preserve"> clients.</w:t>
      </w:r>
      <w:r>
        <w:t xml:space="preserve"> </w:t>
      </w:r>
    </w:p>
    <w:p w14:paraId="0313C7FF" w14:textId="77777777" w:rsidR="00D24A4B" w:rsidRDefault="00D24A4B" w:rsidP="00D24A4B">
      <w:pPr>
        <w:rPr>
          <w:rFonts w:ascii="Arial" w:hAnsi="Arial" w:cs="Arial"/>
          <w:b/>
        </w:rPr>
      </w:pPr>
      <w:r w:rsidRPr="00871A89">
        <w:rPr>
          <w:rFonts w:ascii="Arial" w:hAnsi="Arial" w:cs="Arial"/>
          <w:b/>
        </w:rPr>
        <w:t>NIST Special Publication 800-145 requirements follow:</w:t>
      </w:r>
    </w:p>
    <w:p w14:paraId="28EC3693" w14:textId="77777777" w:rsidR="00D24A4B" w:rsidRPr="00871A89" w:rsidRDefault="00D24A4B" w:rsidP="00D24A4B">
      <w:pPr>
        <w:rPr>
          <w:rFonts w:ascii="Arial" w:hAnsi="Arial" w:cs="Arial"/>
          <w:b/>
          <w:u w:val="single"/>
        </w:rPr>
      </w:pPr>
      <w:r w:rsidRPr="00871A89">
        <w:rPr>
          <w:rFonts w:ascii="Arial" w:hAnsi="Arial" w:cs="Arial"/>
          <w:b/>
          <w:u w:val="single"/>
        </w:rPr>
        <w:t>Essential Characteristics</w:t>
      </w:r>
    </w:p>
    <w:p w14:paraId="08F678B1" w14:textId="77777777" w:rsidR="00D24A4B" w:rsidRPr="00871A89" w:rsidRDefault="00D24A4B" w:rsidP="00D24A4B">
      <w:pPr>
        <w:pStyle w:val="Subheading"/>
      </w:pPr>
      <w:r w:rsidRPr="00871A89">
        <w:t>On-demand self-service</w:t>
      </w:r>
    </w:p>
    <w:p w14:paraId="7280D183" w14:textId="77777777" w:rsidR="00D24A4B" w:rsidRDefault="00D24A4B" w:rsidP="00D24A4B">
      <w:pPr>
        <w:pStyle w:val="BodyText"/>
      </w:pPr>
      <w:r w:rsidRPr="00D5009F">
        <w:t xml:space="preserve">With HPE </w:t>
      </w:r>
      <w:r w:rsidRPr="00AF60A1">
        <w:t>GreenLake Flex Capacity Packages</w:t>
      </w:r>
      <w:r>
        <w:t>,</w:t>
      </w:r>
      <w:r w:rsidRPr="00D5009F">
        <w:t xml:space="preserve"> the Purchasing Entity client is responsible for the On-Demand Self-Service for the HPE provided infrastructure at a Purchasing Entity data center</w:t>
      </w:r>
      <w:r>
        <w:t>. HPE is able</w:t>
      </w:r>
      <w:r w:rsidRPr="00D5009F">
        <w:t xml:space="preserve"> </w:t>
      </w:r>
      <w:r>
        <w:t xml:space="preserve">to </w:t>
      </w:r>
      <w:r w:rsidRPr="00D5009F">
        <w:t>provide technical consulting services as an option to develop the self-service solution for th</w:t>
      </w:r>
      <w:r>
        <w:t xml:space="preserve">e Purchasing Entity client; i.e. </w:t>
      </w:r>
      <w:r w:rsidRPr="00D5009F">
        <w:t>Azure Stack access through the portal, which provides a web-accessible conduit into the system. The portal is a graphical expression of the cloud API.</w:t>
      </w:r>
    </w:p>
    <w:p w14:paraId="52F2816B" w14:textId="77777777" w:rsidR="00D24A4B" w:rsidRPr="00871A89" w:rsidRDefault="00D24A4B" w:rsidP="00D24A4B">
      <w:pPr>
        <w:pStyle w:val="Subheading"/>
      </w:pPr>
      <w:r w:rsidRPr="00871A89">
        <w:t>Broad network access</w:t>
      </w:r>
    </w:p>
    <w:p w14:paraId="3C5BBA9E" w14:textId="77777777" w:rsidR="00D24A4B" w:rsidRDefault="00D24A4B" w:rsidP="00D24A4B">
      <w:pPr>
        <w:pStyle w:val="BodyText"/>
      </w:pPr>
      <w:r w:rsidRPr="001A59C2">
        <w:t xml:space="preserve">HPE </w:t>
      </w:r>
      <w:r w:rsidRPr="00AF60A1">
        <w:t xml:space="preserve">GreenLake Flex Capacity Packages </w:t>
      </w:r>
      <w:r>
        <w:t>are</w:t>
      </w:r>
      <w:r w:rsidRPr="001A59C2">
        <w:t xml:space="preserve"> installed at a Purchasing Entity site and the Purchasing Entity client would be responsible for controlling broad network access. Azure Stack support Virtual Network, Load Balancer, </w:t>
      </w:r>
      <w:r>
        <w:t xml:space="preserve">and </w:t>
      </w:r>
      <w:r w:rsidRPr="001A59C2">
        <w:t>VPN Gateway.</w:t>
      </w:r>
      <w:r>
        <w:t xml:space="preserve"> All authorized users within the network based on privileges provided by the Purchasing Entity will be able to access their applications</w:t>
      </w:r>
    </w:p>
    <w:p w14:paraId="26130396" w14:textId="77777777" w:rsidR="00D24A4B" w:rsidRPr="00871A89" w:rsidRDefault="00D24A4B" w:rsidP="00D24A4B">
      <w:pPr>
        <w:pStyle w:val="Subheading"/>
      </w:pPr>
      <w:r w:rsidRPr="00871A89">
        <w:t>Resource pooling</w:t>
      </w:r>
    </w:p>
    <w:p w14:paraId="427D5035" w14:textId="77777777" w:rsidR="00D24A4B" w:rsidRDefault="00D24A4B" w:rsidP="00D24A4B">
      <w:pPr>
        <w:pStyle w:val="BodyText"/>
      </w:pPr>
      <w:r w:rsidRPr="001A59C2">
        <w:t xml:space="preserve">HPE </w:t>
      </w:r>
      <w:r w:rsidRPr="00AF60A1">
        <w:t xml:space="preserve">GreenLake Flex Capacity Packages </w:t>
      </w:r>
      <w:r w:rsidRPr="001A59C2">
        <w:t xml:space="preserve">installed at a Purchasing Entity site can be operated in an environment where the Purchasing Entity client uses what they want. Azure Stack works for different environments such as testing, staging, and production. Role-based access control, usage, and audit capabilities are standardized across all cloud </w:t>
      </w:r>
      <w:r w:rsidRPr="001A59C2">
        <w:lastRenderedPageBreak/>
        <w:t>resources in the deployment. Updates made to application resources can be performed in an incremental and non-destructive manner.</w:t>
      </w:r>
    </w:p>
    <w:p w14:paraId="5C7ADC5E" w14:textId="77777777" w:rsidR="00D24A4B" w:rsidRPr="00871A89" w:rsidRDefault="00D24A4B" w:rsidP="00D24A4B">
      <w:pPr>
        <w:pStyle w:val="Subheading"/>
      </w:pPr>
      <w:r w:rsidRPr="00871A89">
        <w:t>Rapid elasticity</w:t>
      </w:r>
    </w:p>
    <w:p w14:paraId="7064D730" w14:textId="77777777" w:rsidR="00D24A4B" w:rsidRDefault="00D24A4B" w:rsidP="00D24A4B">
      <w:pPr>
        <w:pStyle w:val="BodyText"/>
      </w:pPr>
      <w:r w:rsidRPr="001A59C2">
        <w:t xml:space="preserve">HPE </w:t>
      </w:r>
      <w:r w:rsidRPr="00AF60A1">
        <w:t>GreenLake Flex Capacity Packages</w:t>
      </w:r>
      <w:r>
        <w:t xml:space="preserve"> have</w:t>
      </w:r>
      <w:r w:rsidRPr="001A59C2">
        <w:t xml:space="preserve"> rapid elasticity because additional capacity is initially installed and maintained to provide the Purchasing Entity client the ability to flex up and flex down in the range of 80% to 110% of the requested capacity. The Purchasing Entity client is billed monthly on the actual usage as recorded by the metering software installed on the system.</w:t>
      </w:r>
    </w:p>
    <w:p w14:paraId="67A052DB" w14:textId="77777777" w:rsidR="00D24A4B" w:rsidRPr="00871A89" w:rsidRDefault="00D24A4B" w:rsidP="00D24A4B">
      <w:pPr>
        <w:pStyle w:val="Subheading"/>
      </w:pPr>
      <w:r w:rsidRPr="00871A89">
        <w:t>Measured service</w:t>
      </w:r>
    </w:p>
    <w:p w14:paraId="0C9796AB" w14:textId="77777777" w:rsidR="00D24A4B" w:rsidRDefault="00D24A4B" w:rsidP="00D24A4B">
      <w:pPr>
        <w:pStyle w:val="BodyText"/>
      </w:pPr>
      <w:r w:rsidRPr="00221679">
        <w:t>HPE will install and configure the system with software that provides metering and data collection enablement. This allows Purchasing Entity and HPE to access usage reports on the HPE Portal and provides data for billing. This data details usage for the month, which is then used to calculate the monthly expense based on the unit price agreed upon in the contract. Additionally, these reports can be used to see usage trends, and improve capacity planning. A monthly invoice is created and sent directly to the Purchasing Entity client.</w:t>
      </w:r>
    </w:p>
    <w:p w14:paraId="2E7BE24F" w14:textId="77777777" w:rsidR="00D24A4B" w:rsidRPr="00871A89" w:rsidRDefault="00D24A4B" w:rsidP="00D24A4B">
      <w:pPr>
        <w:pStyle w:val="BodyText"/>
        <w:rPr>
          <w:b/>
          <w:u w:val="single"/>
        </w:rPr>
      </w:pPr>
      <w:r w:rsidRPr="00871A89">
        <w:rPr>
          <w:b/>
          <w:u w:val="single"/>
        </w:rPr>
        <w:t>Service Models</w:t>
      </w:r>
    </w:p>
    <w:p w14:paraId="61A5AF6A" w14:textId="77777777" w:rsidR="00D24A4B" w:rsidRPr="00871A89" w:rsidRDefault="00D24A4B" w:rsidP="00D24A4B">
      <w:pPr>
        <w:pStyle w:val="Subheading"/>
      </w:pPr>
      <w:r w:rsidRPr="00871A89">
        <w:t>Software as a Service (SaaS)</w:t>
      </w:r>
    </w:p>
    <w:p w14:paraId="2C47509F" w14:textId="77777777" w:rsidR="00D24A4B" w:rsidRPr="00774E82" w:rsidRDefault="00D24A4B" w:rsidP="00D24A4B">
      <w:pPr>
        <w:pStyle w:val="BodyText"/>
      </w:pPr>
      <w:r w:rsidRPr="00774E82">
        <w:t>Microsoft Azure Public Cloud has application</w:t>
      </w:r>
      <w:r>
        <w:t>s</w:t>
      </w:r>
      <w:r w:rsidRPr="00774E82">
        <w:t xml:space="preserve"> that run as Software as a Service (SaaS) </w:t>
      </w:r>
      <w:r>
        <w:t xml:space="preserve">and </w:t>
      </w:r>
      <w:r w:rsidRPr="00774E82">
        <w:t xml:space="preserve">provides </w:t>
      </w:r>
      <w:r>
        <w:t xml:space="preserve">the </w:t>
      </w:r>
      <w:r w:rsidRPr="00774E82">
        <w:t xml:space="preserve">ability to use these applications running on a cloud infrastructure. HPE GreenLake ProLiant for Microsoft Azure Stack solution provides </w:t>
      </w:r>
      <w:r>
        <w:t xml:space="preserve">each </w:t>
      </w:r>
      <w:r w:rsidRPr="00774E82">
        <w:t>Purchasing Entity with an Azure hybrid cloud platform in the Purchasing Entity’s datacenter or a datacenter of their choice for the sole use and control of the Purchasing Entity client that is fully compatible with Azure Public Cloud services</w:t>
      </w:r>
      <w:r>
        <w:t xml:space="preserve">. </w:t>
      </w:r>
      <w:r w:rsidRPr="00774E82">
        <w:t>The applications are accessible from various client devices through either a thin client interface, such as a web or a program interface</w:t>
      </w:r>
      <w:r>
        <w:t xml:space="preserve">. </w:t>
      </w:r>
      <w:r w:rsidRPr="00774E82">
        <w:t>The Purchasing Entities does not manage or control the underlying cloud infrastructure including network, servers, operating systems, or storage, but has control over the deployed applications and possibly configuration settings for the application-hosting environment.</w:t>
      </w:r>
    </w:p>
    <w:p w14:paraId="46ECB8CE" w14:textId="77777777" w:rsidR="00D24A4B" w:rsidRPr="00871A89" w:rsidRDefault="00D24A4B" w:rsidP="00D24A4B">
      <w:pPr>
        <w:pStyle w:val="Quotation"/>
      </w:pPr>
      <w:r w:rsidRPr="00871A89">
        <w:t xml:space="preserve">Microsoft announced that Azure Stack can be now integrated with Azure Government. Azure Stack has been assessed for FedRAMP Moderate (and offer security controls to comply with the requirements). HPE Cyber-security CoE offer consulting and help of the security features of deployments, apps, solutions, etc. </w:t>
      </w:r>
    </w:p>
    <w:p w14:paraId="027A96E6" w14:textId="77777777" w:rsidR="00D24A4B" w:rsidRDefault="00D24A4B" w:rsidP="00D24A4B">
      <w:pPr>
        <w:pStyle w:val="BodyText"/>
      </w:pPr>
      <w:r w:rsidRPr="001F6DA3">
        <w:t xml:space="preserve">HPE is a certified Microsoft Cloud Solution Provider (CSP), which enables HPE to deliver and support the Azure platform and services for HPE’s customers. </w:t>
      </w:r>
    </w:p>
    <w:p w14:paraId="33FBA3C9" w14:textId="77777777" w:rsidR="00D24A4B" w:rsidRPr="001F6DA3" w:rsidRDefault="00D24A4B" w:rsidP="00D24A4B">
      <w:pPr>
        <w:pStyle w:val="BodyText"/>
      </w:pPr>
      <w:r w:rsidRPr="001F6DA3">
        <w:t>Azure CSP is a program for Microsoft partners. It's also a license channel for various Microsoft cloud services. In addition, it's a new way to provide added value for customers while creating an end-to-end relationship with them and becoming a trusted advisor for various Microsoft c</w:t>
      </w:r>
      <w:r>
        <w:t>loud services, including Azure.</w:t>
      </w:r>
    </w:p>
    <w:p w14:paraId="57C732A2" w14:textId="77777777" w:rsidR="00D24A4B" w:rsidRPr="001F6DA3" w:rsidRDefault="00D24A4B" w:rsidP="00D24A4B">
      <w:pPr>
        <w:pStyle w:val="BodyText"/>
      </w:pPr>
      <w:r w:rsidRPr="001F6DA3">
        <w:t>The Azure CSP product portfolio includes Office 365, Dynamics 365, Enterprise Mobility + Security, Azure, and other Microsof</w:t>
      </w:r>
      <w:r>
        <w:t>t online services for business.</w:t>
      </w:r>
    </w:p>
    <w:p w14:paraId="0FEE4ED1" w14:textId="77777777" w:rsidR="00D24A4B" w:rsidRPr="00871A89" w:rsidRDefault="00D24A4B" w:rsidP="00D24A4B">
      <w:pPr>
        <w:pStyle w:val="BodyText"/>
      </w:pPr>
      <w:r w:rsidRPr="001F6DA3">
        <w:t>Azure CSP enables partners to have end-to-end ownership of the customer lifecycle and relationship for Microsoft Azure. That means partners are empowered to manage sales, own the billing relationship, provide technical and billing support, and be the customer's single point of contact. In addition, Azure CSP provides a full set of tools, including a self-</w:t>
      </w:r>
      <w:r w:rsidRPr="001F6DA3">
        <w:lastRenderedPageBreak/>
        <w:t>service portal and accompanying APIs to easily provision, manage, and provide billing for customers and their subscriptions.</w:t>
      </w:r>
    </w:p>
    <w:p w14:paraId="445252DC" w14:textId="77777777" w:rsidR="00D24A4B" w:rsidRDefault="00D24A4B" w:rsidP="00D24A4B">
      <w:pPr>
        <w:pStyle w:val="Subheading"/>
      </w:pPr>
      <w:r w:rsidRPr="008867B1">
        <w:t>Office 365 Services</w:t>
      </w:r>
    </w:p>
    <w:p w14:paraId="25419ED6" w14:textId="77777777" w:rsidR="00D24A4B" w:rsidRDefault="00D24A4B" w:rsidP="00D24A4B">
      <w:pPr>
        <w:pStyle w:val="Bullet1Double"/>
        <w:numPr>
          <w:ilvl w:val="0"/>
          <w:numId w:val="9"/>
        </w:numPr>
      </w:pPr>
      <w:r>
        <w:t>Microsoft® Office Cloud Services</w:t>
      </w:r>
    </w:p>
    <w:p w14:paraId="61773435" w14:textId="77777777" w:rsidR="00D24A4B" w:rsidRDefault="00D24A4B" w:rsidP="00D24A4B">
      <w:pPr>
        <w:pStyle w:val="Bullet1Double"/>
        <w:numPr>
          <w:ilvl w:val="0"/>
          <w:numId w:val="9"/>
        </w:numPr>
      </w:pPr>
      <w:r>
        <w:t>Exchange Online</w:t>
      </w:r>
    </w:p>
    <w:p w14:paraId="351AC57F" w14:textId="77777777" w:rsidR="00D24A4B" w:rsidRDefault="00D24A4B" w:rsidP="00D24A4B">
      <w:pPr>
        <w:pStyle w:val="Bullet1Double"/>
        <w:numPr>
          <w:ilvl w:val="0"/>
          <w:numId w:val="9"/>
        </w:numPr>
      </w:pPr>
      <w:r>
        <w:t>SharePoint Online</w:t>
      </w:r>
    </w:p>
    <w:p w14:paraId="5F1776B8" w14:textId="77777777" w:rsidR="00D24A4B" w:rsidRDefault="00D24A4B" w:rsidP="00D24A4B">
      <w:pPr>
        <w:pStyle w:val="Bullet1Double"/>
        <w:numPr>
          <w:ilvl w:val="0"/>
          <w:numId w:val="9"/>
        </w:numPr>
      </w:pPr>
      <w:r>
        <w:t>Skype for Business Online</w:t>
      </w:r>
    </w:p>
    <w:p w14:paraId="22326C07" w14:textId="77777777" w:rsidR="00D24A4B" w:rsidRDefault="00D24A4B" w:rsidP="00D24A4B">
      <w:pPr>
        <w:pStyle w:val="Bullet1Double"/>
        <w:numPr>
          <w:ilvl w:val="0"/>
          <w:numId w:val="9"/>
        </w:numPr>
      </w:pPr>
      <w:r>
        <w:t>Yammer</w:t>
      </w:r>
    </w:p>
    <w:p w14:paraId="036713B3" w14:textId="77777777" w:rsidR="00D24A4B" w:rsidRDefault="00D24A4B" w:rsidP="00D24A4B">
      <w:pPr>
        <w:pStyle w:val="Bullet1Double"/>
        <w:numPr>
          <w:ilvl w:val="0"/>
          <w:numId w:val="9"/>
        </w:numPr>
      </w:pPr>
      <w:r>
        <w:t>Outlook Online</w:t>
      </w:r>
    </w:p>
    <w:p w14:paraId="246B74A0" w14:textId="77777777" w:rsidR="00D24A4B" w:rsidRDefault="00D24A4B" w:rsidP="00D24A4B">
      <w:pPr>
        <w:pStyle w:val="Bullet1Double"/>
        <w:numPr>
          <w:ilvl w:val="0"/>
          <w:numId w:val="9"/>
        </w:numPr>
      </w:pPr>
      <w:r>
        <w:t>Word Online</w:t>
      </w:r>
    </w:p>
    <w:p w14:paraId="4965D340" w14:textId="77777777" w:rsidR="00D24A4B" w:rsidRDefault="00D24A4B" w:rsidP="00D24A4B">
      <w:pPr>
        <w:pStyle w:val="Bullet1Double"/>
        <w:numPr>
          <w:ilvl w:val="0"/>
          <w:numId w:val="9"/>
        </w:numPr>
      </w:pPr>
      <w:r>
        <w:t>Excel Online</w:t>
      </w:r>
    </w:p>
    <w:p w14:paraId="62660FC5" w14:textId="77777777" w:rsidR="00D24A4B" w:rsidRDefault="00D24A4B" w:rsidP="00D24A4B">
      <w:pPr>
        <w:pStyle w:val="Bullet1Double"/>
        <w:numPr>
          <w:ilvl w:val="0"/>
          <w:numId w:val="9"/>
        </w:numPr>
      </w:pPr>
      <w:r>
        <w:t>PowerPoint Online</w:t>
      </w:r>
    </w:p>
    <w:p w14:paraId="0077EA63" w14:textId="77777777" w:rsidR="00D24A4B" w:rsidRDefault="00D24A4B" w:rsidP="00D24A4B">
      <w:pPr>
        <w:pStyle w:val="Bullet1Double"/>
        <w:numPr>
          <w:ilvl w:val="0"/>
          <w:numId w:val="9"/>
        </w:numPr>
      </w:pPr>
      <w:r>
        <w:t>OneNote Online</w:t>
      </w:r>
    </w:p>
    <w:p w14:paraId="13678812" w14:textId="77777777" w:rsidR="00D24A4B" w:rsidRDefault="00D24A4B" w:rsidP="00D24A4B">
      <w:pPr>
        <w:pStyle w:val="Bullet1Double"/>
        <w:numPr>
          <w:ilvl w:val="0"/>
          <w:numId w:val="9"/>
        </w:numPr>
      </w:pPr>
      <w:r>
        <w:t>Microsoft Teams</w:t>
      </w:r>
    </w:p>
    <w:p w14:paraId="05DBE58C" w14:textId="77777777" w:rsidR="00D24A4B" w:rsidRPr="00871A89" w:rsidRDefault="00D24A4B" w:rsidP="00D24A4B">
      <w:pPr>
        <w:pStyle w:val="FigureCaptionAuto"/>
        <w:ind w:left="432" w:hanging="432"/>
      </w:pPr>
      <w:r>
        <w:t>Office 365</w:t>
      </w:r>
    </w:p>
    <w:p w14:paraId="6001E404" w14:textId="77777777" w:rsidR="00D24A4B" w:rsidRDefault="00D24A4B" w:rsidP="00D24A4B">
      <w:pPr>
        <w:pStyle w:val="BodyText"/>
        <w:ind w:left="720"/>
        <w:jc w:val="center"/>
        <w:rPr>
          <w:b/>
        </w:rPr>
      </w:pPr>
      <w:r>
        <w:rPr>
          <w:b/>
          <w:noProof/>
          <w:lang w:val="en-GB" w:eastAsia="en-GB"/>
        </w:rPr>
        <w:drawing>
          <wp:inline distT="0" distB="0" distL="0" distR="0" wp14:anchorId="64AA90BC" wp14:editId="7E7F6AAA">
            <wp:extent cx="3505200" cy="2494677"/>
            <wp:effectExtent l="0" t="0" r="0" b="127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230A0C8.tmp"/>
                    <pic:cNvPicPr/>
                  </pic:nvPicPr>
                  <pic:blipFill rotWithShape="1">
                    <a:blip r:embed="rId24">
                      <a:extLst>
                        <a:ext uri="{28A0092B-C50C-407E-A947-70E740481C1C}">
                          <a14:useLocalDpi xmlns:a14="http://schemas.microsoft.com/office/drawing/2010/main" val="0"/>
                        </a:ext>
                      </a:extLst>
                    </a:blip>
                    <a:srcRect r="32330"/>
                    <a:stretch/>
                  </pic:blipFill>
                  <pic:spPr bwMode="auto">
                    <a:xfrm>
                      <a:off x="0" y="0"/>
                      <a:ext cx="3537648" cy="2517771"/>
                    </a:xfrm>
                    <a:prstGeom prst="rect">
                      <a:avLst/>
                    </a:prstGeom>
                    <a:ln>
                      <a:noFill/>
                    </a:ln>
                    <a:extLst>
                      <a:ext uri="{53640926-AAD7-44D8-BBD7-CCE9431645EC}">
                        <a14:shadowObscured xmlns:a14="http://schemas.microsoft.com/office/drawing/2010/main"/>
                      </a:ext>
                    </a:extLst>
                  </pic:spPr>
                </pic:pic>
              </a:graphicData>
            </a:graphic>
          </wp:inline>
        </w:drawing>
      </w:r>
    </w:p>
    <w:p w14:paraId="43955FD5" w14:textId="77777777" w:rsidR="00D24A4B" w:rsidRDefault="00D24A4B" w:rsidP="00D24A4B">
      <w:pPr>
        <w:pStyle w:val="BodyText"/>
        <w:rPr>
          <w:b/>
        </w:rPr>
      </w:pPr>
      <w:r>
        <w:rPr>
          <w:b/>
        </w:rPr>
        <w:t>OneSphere</w:t>
      </w:r>
    </w:p>
    <w:p w14:paraId="548A3F9A" w14:textId="77777777" w:rsidR="00D24A4B" w:rsidRDefault="00D24A4B" w:rsidP="00D24A4B">
      <w:pPr>
        <w:pStyle w:val="Subheading"/>
      </w:pPr>
      <w:r w:rsidRPr="0014498D">
        <w:rPr>
          <w:b w:val="0"/>
        </w:rPr>
        <w:t>HPE OneSphere’s multi-cloud strategy—enabling the solution to be used with any public cloud provider—is designed to dramatically simplify operations. The solution works across virtual machines, containerized workloads, and bare metal applications, so internal stakeholders can compose hybrid clouds capable of supporting both traditional and cloud-native applications. Delivered as a service, HPE OneSphere provides users with a single point to access all their applications and data from anywhere. Through it, users can build private clouds and connect public cloud resources, resulting in a virtual resource pool.</w:t>
      </w:r>
    </w:p>
    <w:p w14:paraId="56B6CCE3" w14:textId="77777777" w:rsidR="00D24A4B" w:rsidRPr="00871A89" w:rsidRDefault="00D24A4B" w:rsidP="00D24A4B">
      <w:pPr>
        <w:pStyle w:val="Subheading"/>
      </w:pPr>
      <w:r w:rsidRPr="00871A89">
        <w:t>Platform as a Service (PaaS)</w:t>
      </w:r>
    </w:p>
    <w:p w14:paraId="3DDF076B" w14:textId="77777777" w:rsidR="00D24A4B" w:rsidRDefault="00D24A4B" w:rsidP="00D24A4B">
      <w:pPr>
        <w:pStyle w:val="BodyText"/>
      </w:pPr>
      <w:r w:rsidRPr="00F4047E">
        <w:t xml:space="preserve">HPE GreenLake ProLiant for Microsoft Azure Stack Private Cloud Platform as a Service (PaaS) provides </w:t>
      </w:r>
      <w:r>
        <w:t xml:space="preserve">the </w:t>
      </w:r>
      <w:r w:rsidRPr="00F4047E">
        <w:t>ability to deploy onto the cloud infrastructure consumer-created or acquired applications supported by the p</w:t>
      </w:r>
      <w:r>
        <w:t>rovider. The Purchasing Entity</w:t>
      </w:r>
      <w:r w:rsidRPr="00F4047E">
        <w:t xml:space="preserve"> does not manage or control the underlying cloud infrastructure including network, servers, operating </w:t>
      </w:r>
      <w:r w:rsidRPr="00F4047E">
        <w:lastRenderedPageBreak/>
        <w:t>systems, or storage, but has control over the deployed applications and possibly configuration settings for the application-hosting environment.</w:t>
      </w:r>
    </w:p>
    <w:p w14:paraId="302C5D61" w14:textId="77777777" w:rsidR="00D24A4B" w:rsidRPr="002A6ED6" w:rsidRDefault="00D24A4B" w:rsidP="00D24A4B">
      <w:pPr>
        <w:pStyle w:val="BodyText"/>
      </w:pPr>
      <w:r w:rsidRPr="002A6ED6">
        <w:t>Azure</w:t>
      </w:r>
      <w:r>
        <w:t xml:space="preserve"> Stack</w:t>
      </w:r>
      <w:r w:rsidRPr="002A6ED6">
        <w:t xml:space="preserve"> </w:t>
      </w:r>
      <w:r>
        <w:t xml:space="preserve">on premise </w:t>
      </w:r>
      <w:r w:rsidRPr="002A6ED6">
        <w:t xml:space="preserve">PaaS </w:t>
      </w:r>
      <w:r>
        <w:t>provides:</w:t>
      </w:r>
    </w:p>
    <w:p w14:paraId="31070CFC" w14:textId="77777777" w:rsidR="00D24A4B" w:rsidRPr="002A6ED6" w:rsidRDefault="00D24A4B" w:rsidP="00D24A4B">
      <w:pPr>
        <w:pStyle w:val="Bullet1Double"/>
        <w:numPr>
          <w:ilvl w:val="0"/>
          <w:numId w:val="9"/>
        </w:numPr>
      </w:pPr>
      <w:r w:rsidRPr="002A6ED6">
        <w:t>Web, Mobile, and API apps</w:t>
      </w:r>
    </w:p>
    <w:p w14:paraId="7689E29B" w14:textId="77777777" w:rsidR="00D24A4B" w:rsidRPr="002A6ED6" w:rsidRDefault="00D24A4B" w:rsidP="00D24A4B">
      <w:pPr>
        <w:pStyle w:val="Bullet1Double"/>
        <w:numPr>
          <w:ilvl w:val="0"/>
          <w:numId w:val="9"/>
        </w:numPr>
      </w:pPr>
      <w:r w:rsidRPr="002A6ED6">
        <w:t>Serverless Computing</w:t>
      </w:r>
    </w:p>
    <w:p w14:paraId="22C743F4" w14:textId="77777777" w:rsidR="00D24A4B" w:rsidRPr="002A6ED6" w:rsidRDefault="00D24A4B" w:rsidP="00D24A4B">
      <w:pPr>
        <w:pStyle w:val="Bullet1Double"/>
        <w:numPr>
          <w:ilvl w:val="0"/>
          <w:numId w:val="9"/>
        </w:numPr>
      </w:pPr>
      <w:r w:rsidRPr="002A6ED6">
        <w:t xml:space="preserve">Scalable distributed applications, standalone cluster </w:t>
      </w:r>
    </w:p>
    <w:p w14:paraId="5186B3FE" w14:textId="77777777" w:rsidR="00D24A4B" w:rsidRPr="002A6ED6" w:rsidRDefault="00D24A4B" w:rsidP="00D24A4B">
      <w:pPr>
        <w:pStyle w:val="Bullet1Double"/>
        <w:numPr>
          <w:ilvl w:val="0"/>
          <w:numId w:val="9"/>
        </w:numPr>
        <w:tabs>
          <w:tab w:val="clear" w:pos="0"/>
        </w:tabs>
        <w:ind w:left="360" w:hanging="360"/>
      </w:pPr>
      <w:r w:rsidRPr="002A6ED6">
        <w:t>Robust container management, incl. ACS templates for Docker Swarm, Kubernetes, and Mesosphere DC/OS</w:t>
      </w:r>
    </w:p>
    <w:p w14:paraId="37B3F4A3" w14:textId="77777777" w:rsidR="00D24A4B" w:rsidRDefault="00D24A4B" w:rsidP="00D24A4B">
      <w:pPr>
        <w:pStyle w:val="Bullet1Double"/>
        <w:numPr>
          <w:ilvl w:val="0"/>
          <w:numId w:val="9"/>
        </w:numPr>
      </w:pPr>
      <w:r w:rsidRPr="002A6ED6">
        <w:t>Open source platform</w:t>
      </w:r>
    </w:p>
    <w:p w14:paraId="0DBCD122" w14:textId="77777777" w:rsidR="00D24A4B" w:rsidRPr="00871A89" w:rsidRDefault="00D24A4B" w:rsidP="00D24A4B">
      <w:pPr>
        <w:pStyle w:val="Subheading"/>
      </w:pPr>
      <w:r w:rsidRPr="00871A89">
        <w:t>Infrastructure as a Service (IaaS)</w:t>
      </w:r>
    </w:p>
    <w:p w14:paraId="1FAFB682" w14:textId="77777777" w:rsidR="00D24A4B" w:rsidRDefault="00D24A4B" w:rsidP="00D24A4B">
      <w:pPr>
        <w:pStyle w:val="BodyText"/>
      </w:pPr>
      <w:r w:rsidRPr="00F4047E">
        <w:t xml:space="preserve">HPE </w:t>
      </w:r>
      <w:r w:rsidRPr="00AF60A1">
        <w:t xml:space="preserve">GreenLake Flex Capacity Packages </w:t>
      </w:r>
      <w:r w:rsidRPr="00F4047E">
        <w:t xml:space="preserve">provide the Purchasing Entity </w:t>
      </w:r>
      <w:r>
        <w:t>the ability to</w:t>
      </w:r>
      <w:r w:rsidRPr="00F4047E">
        <w:t xml:space="preserve"> provision processing, storage, networks, and other fundamental computing resources</w:t>
      </w:r>
      <w:r>
        <w:t>.</w:t>
      </w:r>
      <w:r w:rsidRPr="00F4047E">
        <w:t xml:space="preserve"> </w:t>
      </w:r>
      <w:r>
        <w:t>T</w:t>
      </w:r>
      <w:r w:rsidRPr="00F4047E">
        <w:t>he Purchasing Entity is able to deploy and run arbitrary software, which can include operating systems and applications. The Purchasing Entity does not manage or control the underlying cloud infrastructure but has control over operating systems, storage, and deployed applications; and possibly limited control of select networking components (e.g., host firewalls).</w:t>
      </w:r>
    </w:p>
    <w:p w14:paraId="32F952B3" w14:textId="77777777" w:rsidR="00D24A4B" w:rsidRPr="002A6ED6" w:rsidRDefault="00D24A4B" w:rsidP="00D24A4B">
      <w:pPr>
        <w:pStyle w:val="BodyText"/>
      </w:pPr>
      <w:r w:rsidRPr="002A6ED6">
        <w:t xml:space="preserve">Azure </w:t>
      </w:r>
      <w:r>
        <w:t xml:space="preserve">Stack </w:t>
      </w:r>
      <w:r w:rsidRPr="002A6ED6">
        <w:t>IaaS available on-premises</w:t>
      </w:r>
    </w:p>
    <w:p w14:paraId="21E65CB8" w14:textId="77777777" w:rsidR="00D24A4B" w:rsidRPr="002A6ED6" w:rsidRDefault="00D24A4B" w:rsidP="00D24A4B">
      <w:pPr>
        <w:pStyle w:val="Bullet1Double"/>
        <w:numPr>
          <w:ilvl w:val="0"/>
          <w:numId w:val="9"/>
        </w:numPr>
      </w:pPr>
      <w:r w:rsidRPr="002A6ED6">
        <w:t>Rapid deployment with automated scaling</w:t>
      </w:r>
    </w:p>
    <w:p w14:paraId="1D7FC175" w14:textId="77777777" w:rsidR="00D24A4B" w:rsidRPr="002A6ED6" w:rsidRDefault="00D24A4B" w:rsidP="00D24A4B">
      <w:pPr>
        <w:pStyle w:val="Bullet1Double"/>
        <w:numPr>
          <w:ilvl w:val="0"/>
          <w:numId w:val="9"/>
        </w:numPr>
      </w:pPr>
      <w:r w:rsidRPr="002A6ED6">
        <w:t xml:space="preserve">Linux and Windows Server containers </w:t>
      </w:r>
    </w:p>
    <w:p w14:paraId="492D6B56" w14:textId="77777777" w:rsidR="00D24A4B" w:rsidRPr="002A6ED6" w:rsidRDefault="00D24A4B" w:rsidP="00D24A4B">
      <w:pPr>
        <w:pStyle w:val="Bullet1Double"/>
        <w:numPr>
          <w:ilvl w:val="0"/>
          <w:numId w:val="9"/>
        </w:numPr>
      </w:pPr>
      <w:r w:rsidRPr="002A6ED6">
        <w:t>Virtual network, load balancer, VPN gateway</w:t>
      </w:r>
    </w:p>
    <w:p w14:paraId="6E7BA72B" w14:textId="77777777" w:rsidR="00D24A4B" w:rsidRPr="002A6ED6" w:rsidRDefault="00D24A4B" w:rsidP="00D24A4B">
      <w:pPr>
        <w:pStyle w:val="Bullet1Double"/>
        <w:numPr>
          <w:ilvl w:val="0"/>
          <w:numId w:val="9"/>
        </w:numPr>
      </w:pPr>
      <w:r w:rsidRPr="002A6ED6">
        <w:t>Storage (Blobs, tables, queues)</w:t>
      </w:r>
    </w:p>
    <w:p w14:paraId="18C9102A" w14:textId="77777777" w:rsidR="00D24A4B" w:rsidRDefault="00D24A4B" w:rsidP="00D24A4B">
      <w:pPr>
        <w:pStyle w:val="Bullet1Double"/>
        <w:numPr>
          <w:ilvl w:val="0"/>
          <w:numId w:val="9"/>
        </w:numPr>
      </w:pPr>
      <w:r w:rsidRPr="002A6ED6">
        <w:t>Securely protect application keys and secrets</w:t>
      </w:r>
    </w:p>
    <w:p w14:paraId="747DD254" w14:textId="77777777" w:rsidR="00D24A4B" w:rsidRDefault="00D24A4B" w:rsidP="00D24A4B">
      <w:pPr>
        <w:pStyle w:val="FigureCaptionAuto"/>
        <w:ind w:left="432" w:hanging="432"/>
      </w:pPr>
      <w:r>
        <w:t>Azure Stack IaaS components</w:t>
      </w:r>
    </w:p>
    <w:p w14:paraId="19FACDC4" w14:textId="77777777" w:rsidR="00D24A4B" w:rsidRDefault="00D24A4B" w:rsidP="00D24A4B">
      <w:pPr>
        <w:pStyle w:val="Figure"/>
      </w:pPr>
      <w:r w:rsidRPr="003375BC">
        <w:rPr>
          <w:noProof/>
          <w:lang w:val="en-GB" w:eastAsia="en-GB"/>
        </w:rPr>
        <w:drawing>
          <wp:inline distT="0" distB="0" distL="0" distR="0" wp14:anchorId="792BEAF3" wp14:editId="24E15B66">
            <wp:extent cx="5210175" cy="21621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0175" cy="2162175"/>
                    </a:xfrm>
                    <a:prstGeom prst="rect">
                      <a:avLst/>
                    </a:prstGeom>
                    <a:noFill/>
                    <a:ln>
                      <a:noFill/>
                    </a:ln>
                  </pic:spPr>
                </pic:pic>
              </a:graphicData>
            </a:graphic>
          </wp:inline>
        </w:drawing>
      </w:r>
    </w:p>
    <w:p w14:paraId="45B48563" w14:textId="77777777" w:rsidR="00D24A4B" w:rsidRPr="00871A89" w:rsidRDefault="00D24A4B" w:rsidP="00D24A4B">
      <w:pPr>
        <w:pStyle w:val="BodyText"/>
        <w:rPr>
          <w:b/>
          <w:u w:val="single"/>
        </w:rPr>
      </w:pPr>
      <w:r w:rsidRPr="00871A89">
        <w:rPr>
          <w:b/>
          <w:u w:val="single"/>
        </w:rPr>
        <w:t>Deployment Models</w:t>
      </w:r>
    </w:p>
    <w:p w14:paraId="396DEEBF" w14:textId="77777777" w:rsidR="00D24A4B" w:rsidRPr="00871A89" w:rsidRDefault="00D24A4B" w:rsidP="00D24A4B">
      <w:pPr>
        <w:pStyle w:val="Subheading"/>
      </w:pPr>
      <w:r w:rsidRPr="00871A89">
        <w:t>Private cloud</w:t>
      </w:r>
    </w:p>
    <w:p w14:paraId="496CEFAD" w14:textId="77777777" w:rsidR="00D24A4B" w:rsidRDefault="00D24A4B" w:rsidP="00D24A4B">
      <w:pPr>
        <w:pStyle w:val="BodyText"/>
      </w:pPr>
      <w:r w:rsidRPr="00F4047E">
        <w:t xml:space="preserve">HPE </w:t>
      </w:r>
      <w:r w:rsidRPr="00AF60A1">
        <w:t xml:space="preserve">GreenLake Flex Capacity Packages </w:t>
      </w:r>
      <w:r>
        <w:t xml:space="preserve">can be deployed as an on </w:t>
      </w:r>
      <w:r w:rsidRPr="00F4047E">
        <w:t>premise</w:t>
      </w:r>
      <w:r>
        <w:t>,</w:t>
      </w:r>
      <w:r w:rsidRPr="00F4047E">
        <w:t xml:space="preserve"> private cloud serving Purchasing Entity clients.</w:t>
      </w:r>
    </w:p>
    <w:p w14:paraId="733394F7" w14:textId="77777777" w:rsidR="00D24A4B" w:rsidRPr="00871A89" w:rsidRDefault="00D24A4B" w:rsidP="00D24A4B">
      <w:pPr>
        <w:pStyle w:val="Subheading"/>
      </w:pPr>
      <w:r w:rsidRPr="00871A89">
        <w:lastRenderedPageBreak/>
        <w:t>Hybrid cloud</w:t>
      </w:r>
    </w:p>
    <w:p w14:paraId="1CE6AEC2" w14:textId="77777777" w:rsidR="00D24A4B" w:rsidRDefault="00D24A4B" w:rsidP="00D24A4B">
      <w:pPr>
        <w:pStyle w:val="BodyText"/>
      </w:pPr>
      <w:r w:rsidRPr="00F4047E">
        <w:t>The HPE GreenLake ProLiant for Microsoft Azure Stack solution offers the architectural flexibility to optimize cost and meet SLAs by delivering IaaS and PaaS capability to run virtualized and cloud-native apps at cloud scale using a single management model. Applications can be developed, deployed and ported between Azure Stack private cloud and Azure public cloud to meet changing business needs.</w:t>
      </w:r>
    </w:p>
    <w:p w14:paraId="58CB1906" w14:textId="77777777" w:rsidR="00D24A4B" w:rsidRPr="00871A89" w:rsidRDefault="00D24A4B" w:rsidP="00D24A4B">
      <w:pPr>
        <w:pStyle w:val="Subheading"/>
      </w:pPr>
      <w:r w:rsidRPr="00871A89">
        <w:t>Public cloud</w:t>
      </w:r>
    </w:p>
    <w:p w14:paraId="028BDF23" w14:textId="77777777" w:rsidR="00D24A4B" w:rsidRDefault="00D24A4B" w:rsidP="00D24A4B">
      <w:pPr>
        <w:pStyle w:val="BodyText"/>
        <w:rPr>
          <w:noProof/>
          <w:lang w:val="en-GB" w:eastAsia="en-GB"/>
        </w:rPr>
      </w:pPr>
      <w:r w:rsidRPr="00EC738A">
        <w:t>The HPE GreenLake ProLiant for Microsoft Azure Stack solution offers the architectural flexibility to run virtualized and cloud-native apps at cloud scale using a single management model. Applications can be developed, deployed and ported between Azure Stack private cloud and Azure public cloud to meet changing business needs</w:t>
      </w:r>
      <w:r>
        <w:t>.</w:t>
      </w:r>
    </w:p>
    <w:p w14:paraId="4AFC0107" w14:textId="77777777" w:rsidR="00D24A4B" w:rsidRDefault="00D24A4B" w:rsidP="00D24A4B">
      <w:pPr>
        <w:pStyle w:val="FigureCaptionAuto"/>
        <w:ind w:left="432" w:hanging="432"/>
        <w:rPr>
          <w:noProof/>
          <w:lang w:val="en-GB" w:eastAsia="en-GB"/>
        </w:rPr>
      </w:pPr>
      <w:r>
        <w:rPr>
          <w:noProof/>
          <w:lang w:val="en-GB" w:eastAsia="en-GB"/>
        </w:rPr>
        <w:t>HPE GreenLake ProLiant for MS Azure Stack</w:t>
      </w:r>
    </w:p>
    <w:p w14:paraId="40C0560B" w14:textId="77777777" w:rsidR="00D24A4B" w:rsidRPr="003375BC" w:rsidRDefault="00D24A4B" w:rsidP="00D24A4B">
      <w:pPr>
        <w:pStyle w:val="Figure"/>
        <w:rPr>
          <w:lang w:val="en-GB" w:eastAsia="en-GB"/>
        </w:rPr>
      </w:pPr>
      <w:r w:rsidRPr="003375BC">
        <w:rPr>
          <w:noProof/>
          <w:lang w:val="en-GB" w:eastAsia="en-GB"/>
        </w:rPr>
        <w:drawing>
          <wp:inline distT="0" distB="0" distL="0" distR="0" wp14:anchorId="747C19EA" wp14:editId="57FB193F">
            <wp:extent cx="5429250" cy="2524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29250" cy="2524125"/>
                    </a:xfrm>
                    <a:prstGeom prst="rect">
                      <a:avLst/>
                    </a:prstGeom>
                    <a:noFill/>
                    <a:ln>
                      <a:noFill/>
                    </a:ln>
                  </pic:spPr>
                </pic:pic>
              </a:graphicData>
            </a:graphic>
          </wp:inline>
        </w:drawing>
      </w:r>
    </w:p>
    <w:p w14:paraId="2DB1AF13" w14:textId="77777777" w:rsidR="00D24A4B" w:rsidRDefault="00D24A4B" w:rsidP="00D24A4B">
      <w:pPr>
        <w:pStyle w:val="BodyText"/>
      </w:pPr>
      <w:r w:rsidRPr="009D30F8">
        <w:t>HPE Public cloud offerings enable Purchasing Entities to have access to Microsoft Azure market for Software services MS Office 365 and HPE OneSphere.</w:t>
      </w:r>
    </w:p>
    <w:p w14:paraId="149645E5" w14:textId="77777777" w:rsidR="00D24A4B" w:rsidRPr="001F2DC3" w:rsidRDefault="00D24A4B" w:rsidP="00D24A4B">
      <w:pPr>
        <w:pStyle w:val="BodyText"/>
      </w:pPr>
      <w:r w:rsidRPr="009E3516">
        <w:t xml:space="preserve">HPE GreenLake </w:t>
      </w:r>
      <w:r w:rsidRPr="00F04011">
        <w:t xml:space="preserve">Flex Capacity Packages </w:t>
      </w:r>
      <w:r w:rsidRPr="009E3516">
        <w:t>satisfies all NIST essential characteristics for cloud as described in the subparagraphs that follow.</w:t>
      </w:r>
      <w:r>
        <w:t xml:space="preserve"> </w:t>
      </w:r>
      <w:r w:rsidRPr="00FC52CA">
        <w:t>HPE’s proposed SaaS also meets each requirement of NIST.</w:t>
      </w:r>
    </w:p>
    <w:p w14:paraId="64041B6F" w14:textId="77777777" w:rsidR="00D24A4B" w:rsidRDefault="00D24A4B" w:rsidP="00D24A4B">
      <w:pPr>
        <w:pStyle w:val="Bullet1Double0"/>
        <w:shd w:val="clear" w:color="auto" w:fill="DBDCDD"/>
        <w:ind w:left="720" w:hanging="720"/>
      </w:pPr>
      <w:r>
        <w:t>8.1.2</w:t>
      </w:r>
      <w:r>
        <w:tab/>
        <w:t>As applicable to an Offeror’s proposal, Offeror must describe its willingness to comply with, the requirements of Attachments C &amp; D.</w:t>
      </w:r>
    </w:p>
    <w:p w14:paraId="0C9D68D7" w14:textId="77777777" w:rsidR="00D24A4B" w:rsidRDefault="00D24A4B" w:rsidP="00D24A4B">
      <w:pPr>
        <w:pStyle w:val="Response"/>
      </w:pPr>
      <w:r>
        <w:t>Response:</w:t>
      </w:r>
    </w:p>
    <w:p w14:paraId="0DCBA8B8" w14:textId="77777777" w:rsidR="00D24A4B" w:rsidRPr="001F2DC3" w:rsidRDefault="00D24A4B" w:rsidP="00D24A4B">
      <w:pPr>
        <w:pStyle w:val="BodyText"/>
      </w:pPr>
      <w:r w:rsidRPr="00FC52CA">
        <w:t>HPE GreenLake Flex Capacity Packages are a general purpose Infrastructure-as-a-Service (IaaS) installed at a Purchasing Entity site and is used by the Purchasing Entity client in the way it wants. HPE meets the requirements of Infrastructure as a Service Private Cloud on premise (Attachments C &amp; D).</w:t>
      </w:r>
    </w:p>
    <w:p w14:paraId="59145F8D" w14:textId="77777777" w:rsidR="00D24A4B" w:rsidRDefault="00D24A4B" w:rsidP="00D24A4B">
      <w:pPr>
        <w:pStyle w:val="Bullet1Double0"/>
        <w:shd w:val="clear" w:color="auto" w:fill="DBDCDD"/>
        <w:ind w:left="720" w:hanging="720"/>
      </w:pPr>
      <w:r>
        <w:t>8.1.3</w:t>
      </w:r>
      <w:r>
        <w:tab/>
        <w:t>As applicable to an Offeror’s proposal, Offeror must describe how its offerings adhere to the services, definitions, and deployment models identified in the Scope of Services, in Attachment D.</w:t>
      </w:r>
    </w:p>
    <w:p w14:paraId="7DA293B6" w14:textId="77777777" w:rsidR="00D24A4B" w:rsidRDefault="00D24A4B" w:rsidP="00D24A4B">
      <w:pPr>
        <w:pStyle w:val="Response"/>
      </w:pPr>
      <w:r>
        <w:lastRenderedPageBreak/>
        <w:t>Response:</w:t>
      </w:r>
    </w:p>
    <w:p w14:paraId="6109B81C" w14:textId="77777777" w:rsidR="00D24A4B" w:rsidRDefault="00D24A4B" w:rsidP="00D24A4B">
      <w:pPr>
        <w:pStyle w:val="BodyText"/>
      </w:pPr>
      <w:r w:rsidRPr="00FC52CA">
        <w:t>HPE GreenLake Flex Capacity Packages are a general purpose Infrastructure as a Service (IaaS) installed at a Purchasing Entity site and is used by the Purchasing Entity client in the way it wants.</w:t>
      </w:r>
    </w:p>
    <w:p w14:paraId="4CE8E1EA" w14:textId="77777777" w:rsidR="00D24A4B" w:rsidRPr="00E84527" w:rsidRDefault="00D24A4B" w:rsidP="00D24A4B">
      <w:pPr>
        <w:pStyle w:val="BodyText"/>
      </w:pPr>
      <w:r>
        <w:t>HPE’s proposed solution meets the five essential characteristics of cloud-based service models:</w:t>
      </w:r>
    </w:p>
    <w:p w14:paraId="1D2F9C63" w14:textId="77777777" w:rsidR="00D24A4B" w:rsidRPr="00E84527" w:rsidRDefault="00D24A4B" w:rsidP="00D24A4B">
      <w:pPr>
        <w:pStyle w:val="Bullet1Double"/>
        <w:numPr>
          <w:ilvl w:val="0"/>
          <w:numId w:val="9"/>
        </w:numPr>
        <w:tabs>
          <w:tab w:val="clear" w:pos="0"/>
        </w:tabs>
        <w:ind w:left="360" w:hanging="360"/>
      </w:pPr>
      <w:r w:rsidRPr="00E84527">
        <w:t xml:space="preserve">On-demand self-service. A consumer can unilaterally provision computing capabilities, such as server time and network storage, as needed automatically without requiring human interaction with each service provider. </w:t>
      </w:r>
    </w:p>
    <w:p w14:paraId="468F354A" w14:textId="77777777" w:rsidR="00D24A4B" w:rsidRPr="00E84527" w:rsidRDefault="00D24A4B" w:rsidP="00D24A4B">
      <w:pPr>
        <w:pStyle w:val="Bullet1Double"/>
        <w:numPr>
          <w:ilvl w:val="0"/>
          <w:numId w:val="9"/>
        </w:numPr>
        <w:tabs>
          <w:tab w:val="clear" w:pos="0"/>
        </w:tabs>
        <w:ind w:left="360" w:hanging="360"/>
      </w:pPr>
      <w:r w:rsidRPr="00E84527">
        <w:t xml:space="preserve">Broad network access. Capabilities are available over the network and accessed through standard mechanisms that promote use by heterogeneous thin or thick client platforms (e.g., mobile phones, tablets, laptops, and workstations). </w:t>
      </w:r>
    </w:p>
    <w:p w14:paraId="7EFC41FA" w14:textId="77777777" w:rsidR="00D24A4B" w:rsidRDefault="00D24A4B" w:rsidP="00D24A4B">
      <w:pPr>
        <w:pStyle w:val="Bullet1Double"/>
        <w:numPr>
          <w:ilvl w:val="0"/>
          <w:numId w:val="9"/>
        </w:numPr>
        <w:tabs>
          <w:tab w:val="clear" w:pos="0"/>
        </w:tabs>
        <w:ind w:left="360" w:hanging="360"/>
      </w:pPr>
      <w:r w:rsidRPr="00E84527">
        <w:t xml:space="preserve">Resource pooling. The provider’s computing resources are pooled to serve multiple consumers using a multi-tenant model, with different physical and virtual resources dynamically assigned and reassigned according to consumer demand. There is a sense of location independence in that the customer generally has no control or knowledge over the exact location of the provided resources but may be able to specify location at a higher level of abstraction (e.g., country, state, or datacenter). Examples of resources include storage, processing, memory, and network bandwidth. </w:t>
      </w:r>
    </w:p>
    <w:p w14:paraId="2E7C1BD1" w14:textId="77777777" w:rsidR="00D24A4B" w:rsidRPr="00E84527" w:rsidRDefault="00D24A4B" w:rsidP="00D24A4B">
      <w:pPr>
        <w:pStyle w:val="Bullet1Double"/>
        <w:numPr>
          <w:ilvl w:val="0"/>
          <w:numId w:val="9"/>
        </w:numPr>
        <w:tabs>
          <w:tab w:val="clear" w:pos="0"/>
        </w:tabs>
        <w:ind w:left="360" w:hanging="360"/>
      </w:pPr>
      <w:r w:rsidRPr="00E84527">
        <w:t xml:space="preserve">Rapid elasticity. Capabilities can be elastically provisioned and released, in some cases automatically, to scale rapidly outward and inward commensurate with demand. To the consumer, the capabilities available for provisioning often appear to be unlimited and can be appropriated in any quantity at any time. </w:t>
      </w:r>
    </w:p>
    <w:p w14:paraId="6A43EE79" w14:textId="77777777" w:rsidR="00D24A4B" w:rsidRPr="00E84527" w:rsidRDefault="00D24A4B" w:rsidP="00D24A4B">
      <w:pPr>
        <w:pStyle w:val="Bullet1Double"/>
        <w:numPr>
          <w:ilvl w:val="0"/>
          <w:numId w:val="9"/>
        </w:numPr>
        <w:tabs>
          <w:tab w:val="clear" w:pos="0"/>
        </w:tabs>
        <w:ind w:left="360" w:hanging="360"/>
      </w:pPr>
      <w:r w:rsidRPr="00E84527">
        <w:t>Measured service. Cloud systems automatically control and optimize resource use by leveraging a metering capability1 at some level of abstraction appropriate to the type of service (e.g., storage, processing, bandwidth, and active user accounts). Resource usage can be monitored, controlled, and reported, providing transparency for both the provider and consumer of the utilized service.</w:t>
      </w:r>
    </w:p>
    <w:p w14:paraId="4B209816" w14:textId="77777777" w:rsidR="00D24A4B" w:rsidRPr="00E84527" w:rsidRDefault="00D24A4B" w:rsidP="00D24A4B">
      <w:pPr>
        <w:pStyle w:val="BodyText"/>
      </w:pPr>
      <w:r>
        <w:t xml:space="preserve">HPE is proposing all three </w:t>
      </w:r>
      <w:r w:rsidRPr="00E84527">
        <w:t>cloud based services models</w:t>
      </w:r>
      <w:r>
        <w:t xml:space="preserve">, </w:t>
      </w:r>
      <w:r w:rsidRPr="00E84527">
        <w:t>defined as:</w:t>
      </w:r>
    </w:p>
    <w:p w14:paraId="3C774EB2" w14:textId="77777777" w:rsidR="00D24A4B" w:rsidRPr="00E84527" w:rsidRDefault="00D24A4B" w:rsidP="00D24A4B">
      <w:pPr>
        <w:pStyle w:val="Bullet1Double"/>
        <w:numPr>
          <w:ilvl w:val="0"/>
          <w:numId w:val="9"/>
        </w:numPr>
        <w:tabs>
          <w:tab w:val="clear" w:pos="0"/>
        </w:tabs>
        <w:ind w:left="360" w:hanging="360"/>
      </w:pPr>
      <w:r w:rsidRPr="00E84527">
        <w:t>Software as a Service (SaaS) - as used in this Master Agreement is defined as the capability provided to the consumer to use the provider’s applications running on a cloud infrastructure</w:t>
      </w:r>
      <w:r>
        <w:t xml:space="preserve">. </w:t>
      </w:r>
      <w:r w:rsidRPr="00E84527">
        <w:t>The applications are accessible from various client devices through a thin client interface such as a Web browser (e.g., Web-based email), or a program interface. The consumer does not manage or control the underlying cloud infrastructure including network, servers, operating systems, storage, or even individual application capabilities, with the possible exception of limited user-specific application configuration settings.</w:t>
      </w:r>
    </w:p>
    <w:p w14:paraId="4812E02D" w14:textId="77777777" w:rsidR="00D24A4B" w:rsidRPr="00E84527" w:rsidRDefault="00D24A4B" w:rsidP="00D24A4B">
      <w:pPr>
        <w:pStyle w:val="Bullet1Double"/>
        <w:numPr>
          <w:ilvl w:val="0"/>
          <w:numId w:val="9"/>
        </w:numPr>
        <w:tabs>
          <w:tab w:val="clear" w:pos="0"/>
        </w:tabs>
        <w:ind w:left="360" w:hanging="360"/>
      </w:pPr>
      <w:r w:rsidRPr="00E84527">
        <w:t xml:space="preserve">Infrastructure as a Service (IaaS) - as used in this Master Agreement is defined </w:t>
      </w:r>
      <w:r>
        <w:t xml:space="preserve">as </w:t>
      </w:r>
      <w:r w:rsidRPr="00E84527">
        <w:t>the capability provided to the consumer is to provision processing, storage, networks, and other fundamental computing resources where the consumer is able to deploy and run arbitrary software, which can include operating systems and applications. The consumer does not manage or control the underlying cloud infrastructure but has control over operating systems, storage, deployed applications; and possibly limited control of select networking components (e.g., host firewalls).</w:t>
      </w:r>
    </w:p>
    <w:p w14:paraId="172EEC33" w14:textId="77777777" w:rsidR="00D24A4B" w:rsidRPr="00E84527" w:rsidRDefault="00D24A4B" w:rsidP="00D24A4B">
      <w:pPr>
        <w:pStyle w:val="Bullet1Double"/>
        <w:numPr>
          <w:ilvl w:val="0"/>
          <w:numId w:val="9"/>
        </w:numPr>
        <w:tabs>
          <w:tab w:val="clear" w:pos="0"/>
        </w:tabs>
        <w:ind w:left="360" w:hanging="360"/>
      </w:pPr>
      <w:r w:rsidRPr="00E84527">
        <w:t xml:space="preserve">Platform as a Service (PaaS) - as used in this Master Agreement is defined as the capability provided to the consumer to deploy onto the cloud infrastructure consumer-created or -acquired applications created using programming languages and tools </w:t>
      </w:r>
      <w:r w:rsidRPr="00E84527">
        <w:lastRenderedPageBreak/>
        <w:t>supported by the provider. This capability does not necessarily preclude the use of compatible programming languages, libraries, services, and tools from other sources. The consumer does not manage or control the underlying cloud infrastructure including network, servers, operating systems, or storage, but has control over the deployed applications and possibly application hosting environment configurations.</w:t>
      </w:r>
    </w:p>
    <w:p w14:paraId="7E282FCC" w14:textId="77777777" w:rsidR="00D24A4B" w:rsidRPr="00E84527" w:rsidRDefault="00D24A4B" w:rsidP="00D24A4B">
      <w:pPr>
        <w:pStyle w:val="BodyText"/>
      </w:pPr>
      <w:r w:rsidRPr="009E114A">
        <w:t>A successful Offeror will have the ability to provide cloud based services through the following deployment methods:</w:t>
      </w:r>
      <w:r w:rsidRPr="00E84527">
        <w:t xml:space="preserve"> </w:t>
      </w:r>
    </w:p>
    <w:p w14:paraId="66BEAC0E" w14:textId="77777777" w:rsidR="00D24A4B" w:rsidRPr="00E84527" w:rsidRDefault="00D24A4B" w:rsidP="00D24A4B">
      <w:pPr>
        <w:pStyle w:val="Bullet1Double"/>
        <w:numPr>
          <w:ilvl w:val="0"/>
          <w:numId w:val="9"/>
        </w:numPr>
        <w:tabs>
          <w:tab w:val="clear" w:pos="0"/>
        </w:tabs>
        <w:ind w:left="360" w:hanging="360"/>
      </w:pPr>
      <w:r w:rsidRPr="00E84527">
        <w:t>Private cloud. The cloud infrastructure is provisioned for exclusive use by a single organization comprising multiple consumers (e.g., business units). It may be owned, managed, and operated by the organization, a third party, or some combination of them, and it may exist on or off premises.</w:t>
      </w:r>
    </w:p>
    <w:p w14:paraId="3BDB742C" w14:textId="77777777" w:rsidR="00D24A4B" w:rsidRPr="00E84527" w:rsidRDefault="00D24A4B" w:rsidP="00D24A4B">
      <w:pPr>
        <w:pStyle w:val="Bullet1Double"/>
        <w:numPr>
          <w:ilvl w:val="0"/>
          <w:numId w:val="9"/>
        </w:numPr>
        <w:tabs>
          <w:tab w:val="clear" w:pos="0"/>
        </w:tabs>
        <w:ind w:left="360" w:hanging="360"/>
      </w:pPr>
      <w:r w:rsidRPr="00E84527">
        <w:t>Public cloud. The cloud infrastructure is provisioned for open use by the general public. It may be owned, managed, and operated by a business, academic, or government organization, or some combination of them. It exists on the premises of the cloud provider.</w:t>
      </w:r>
    </w:p>
    <w:p w14:paraId="6D0482B7" w14:textId="77777777" w:rsidR="00D24A4B" w:rsidRPr="001F2DC3" w:rsidRDefault="00D24A4B" w:rsidP="00D24A4B">
      <w:pPr>
        <w:pStyle w:val="Bullet1Double"/>
        <w:numPr>
          <w:ilvl w:val="0"/>
          <w:numId w:val="9"/>
        </w:numPr>
        <w:tabs>
          <w:tab w:val="clear" w:pos="0"/>
        </w:tabs>
        <w:ind w:left="360" w:hanging="360"/>
      </w:pPr>
      <w:r w:rsidRPr="00E84527">
        <w:t>Hybrid cloud. The cloud infrastructure is a composition of two or more distinct cloud infrastructures (private, community, or public) that remain unique entities, but are bound together by standardized or proprietary technology that enables data and application portability (e.g., cloud bursting for load balancing between clouds)</w:t>
      </w:r>
    </w:p>
    <w:p w14:paraId="6117924D" w14:textId="77777777" w:rsidR="00D24A4B" w:rsidRDefault="00D24A4B" w:rsidP="00D24A4B">
      <w:pPr>
        <w:pStyle w:val="Heading30"/>
      </w:pPr>
      <w:bookmarkStart w:id="23" w:name="_Toc514418389"/>
      <w:bookmarkStart w:id="24" w:name="_Toc518548589"/>
      <w:r>
        <w:t>8.2</w:t>
      </w:r>
      <w:r>
        <w:tab/>
        <w:t>(E) Subcontractors</w:t>
      </w:r>
      <w:bookmarkEnd w:id="23"/>
      <w:bookmarkEnd w:id="24"/>
    </w:p>
    <w:p w14:paraId="60547C7F" w14:textId="77777777" w:rsidR="00D24A4B" w:rsidRDefault="00D24A4B" w:rsidP="00D24A4B">
      <w:pPr>
        <w:pStyle w:val="Response"/>
        <w:shd w:val="clear" w:color="auto" w:fill="E2EFD9" w:themeFill="accent6" w:themeFillTint="33"/>
        <w:rPr>
          <w:b w:val="0"/>
          <w:i w:val="0"/>
        </w:rPr>
      </w:pPr>
      <w:r w:rsidRPr="00B26F7E">
        <w:rPr>
          <w:b w:val="0"/>
          <w:i w:val="0"/>
        </w:rPr>
        <w:t xml:space="preserve">HPE </w:t>
      </w:r>
      <w:r>
        <w:rPr>
          <w:b w:val="0"/>
          <w:i w:val="0"/>
        </w:rPr>
        <w:t>hybrid cloud</w:t>
      </w:r>
      <w:r w:rsidRPr="00B26F7E">
        <w:rPr>
          <w:b w:val="0"/>
          <w:i w:val="0"/>
        </w:rPr>
        <w:t xml:space="preserve"> solution is a fully integrated system that delivers Azure compatible, software defined Infrastructure-as-a-Service (IaaS), Platform-as-a-Service (PaaS) on HPE hardware and Software-as-a-Service (SaaS) on Microsoft’ Azure public cloud is a superior offering for Purchasing Entity</w:t>
      </w:r>
      <w:r>
        <w:rPr>
          <w:b w:val="0"/>
          <w:i w:val="0"/>
        </w:rPr>
        <w:t>.</w:t>
      </w:r>
    </w:p>
    <w:p w14:paraId="2438FCE3" w14:textId="77777777" w:rsidR="00D24A4B" w:rsidRPr="007D4EC3" w:rsidRDefault="00D24A4B" w:rsidP="00D24A4B">
      <w:pPr>
        <w:pStyle w:val="BodyText"/>
      </w:pPr>
    </w:p>
    <w:p w14:paraId="394A67C2" w14:textId="77777777" w:rsidR="00D24A4B" w:rsidRDefault="00D24A4B" w:rsidP="00D24A4B">
      <w:pPr>
        <w:pStyle w:val="Bullet1Double0"/>
        <w:shd w:val="clear" w:color="auto" w:fill="DBDCDD"/>
        <w:ind w:left="720" w:hanging="720"/>
      </w:pPr>
      <w:r>
        <w:t>8.2.1</w:t>
      </w:r>
      <w:r>
        <w:tab/>
        <w:t>Offerors must explain whether they intend to provide all cloud solutions directly or through the use of Subcontractors. Higher points may be earned by providing all services directly or by providing details of highly qualified Subcontractors; lower scores may be earned for failure to provide detailed plans for providing services or failure to provide detail regarding specific Subcontractors. Any Subcontractor that an Offeror chooses to use in fulfilling the requirements of the RFP must also meet all Administrative, Business and Technical Requirements of the RFP, as applicable to the Solutions provided. Subcontractors do not need to comply with Section 6.3.</w:t>
      </w:r>
    </w:p>
    <w:p w14:paraId="767B4867" w14:textId="77777777" w:rsidR="00D24A4B" w:rsidRDefault="00D24A4B" w:rsidP="00D24A4B">
      <w:pPr>
        <w:pStyle w:val="Response"/>
      </w:pPr>
      <w:r>
        <w:t>Response:</w:t>
      </w:r>
    </w:p>
    <w:p w14:paraId="729589D5" w14:textId="77777777" w:rsidR="00D24A4B" w:rsidRPr="001F2DC3" w:rsidRDefault="00D24A4B" w:rsidP="00D24A4B">
      <w:pPr>
        <w:pStyle w:val="BodyText"/>
      </w:pPr>
      <w:r w:rsidRPr="007D4EC3">
        <w:t>HPE intends to provide the solutions directly for the HPE GreenLake Flex Capacity Packages offering to a Purchasing Entity</w:t>
      </w:r>
      <w:r>
        <w:t xml:space="preserve">. </w:t>
      </w:r>
      <w:r w:rsidRPr="007D4EC3">
        <w:t>HPE reserves the right to use an authorized service provider, to provide onsite services.</w:t>
      </w:r>
    </w:p>
    <w:p w14:paraId="6DD5984D" w14:textId="77777777" w:rsidR="00D24A4B" w:rsidRDefault="00D24A4B" w:rsidP="00D24A4B">
      <w:pPr>
        <w:pStyle w:val="Bullet1Double0"/>
        <w:shd w:val="clear" w:color="auto" w:fill="DBDCDD"/>
        <w:ind w:left="720" w:hanging="720"/>
      </w:pPr>
      <w:r>
        <w:t>8.2.2</w:t>
      </w:r>
      <w:r>
        <w:tab/>
        <w:t xml:space="preserve">Offeror must describe the extent to which it intends to use subcontractors to perform contract requirements. Include each position providing service and provide a detailed description of how the subcontractors are anticipated to be involved under the Master Agreement. </w:t>
      </w:r>
    </w:p>
    <w:p w14:paraId="3640BFC7" w14:textId="77777777" w:rsidR="00D24A4B" w:rsidRDefault="00D24A4B" w:rsidP="00D24A4B">
      <w:pPr>
        <w:pStyle w:val="Response"/>
      </w:pPr>
      <w:r>
        <w:t>Response:</w:t>
      </w:r>
    </w:p>
    <w:p w14:paraId="6D0A0E3B" w14:textId="77777777" w:rsidR="00D24A4B" w:rsidRPr="001F2DC3" w:rsidRDefault="00D24A4B" w:rsidP="00D24A4B">
      <w:pPr>
        <w:pStyle w:val="BodyText"/>
      </w:pPr>
      <w:r w:rsidRPr="007D4EC3">
        <w:t xml:space="preserve">HPE will used an authorized support services subcontractor, Unisys Corporation, to assist HPE with providing onsite technical break-fix, installations and preventative maintenance operational support services. HPE resources will continue to remotely assist and/or </w:t>
      </w:r>
      <w:r w:rsidRPr="007D4EC3">
        <w:lastRenderedPageBreak/>
        <w:t>troubleshoot your support requests related to the covered hardware throughout the repair process</w:t>
      </w:r>
      <w:r>
        <w:t xml:space="preserve">. </w:t>
      </w:r>
      <w:r w:rsidRPr="007D4EC3">
        <w:t>All other processes, service delivery commitments, and points of contact remain unchanged.</w:t>
      </w:r>
    </w:p>
    <w:p w14:paraId="35D0DE94" w14:textId="77777777" w:rsidR="00D24A4B" w:rsidRDefault="00D24A4B" w:rsidP="00D24A4B">
      <w:pPr>
        <w:pStyle w:val="Bullet1Double0"/>
        <w:shd w:val="clear" w:color="auto" w:fill="DBDCDD"/>
        <w:ind w:left="720" w:hanging="720"/>
      </w:pPr>
      <w:r>
        <w:t>8.2.3</w:t>
      </w:r>
      <w:r>
        <w:tab/>
        <w:t xml:space="preserve">If the subcontractor is known, provide the qualifications of the subcontractor to provide the services; if not, describe how you will guarantee selection of a subcontractor that meets the experience requirements of the RFP. Include a description of how the Offeror will ensure that all subcontractors and their employees will meet all Statement of Work requirements. </w:t>
      </w:r>
    </w:p>
    <w:p w14:paraId="28F79208" w14:textId="77777777" w:rsidR="00D24A4B" w:rsidRDefault="00D24A4B" w:rsidP="00D24A4B">
      <w:pPr>
        <w:pStyle w:val="Response"/>
      </w:pPr>
      <w:r>
        <w:t>Response:</w:t>
      </w:r>
    </w:p>
    <w:p w14:paraId="3CAA1493" w14:textId="77777777" w:rsidR="00D24A4B" w:rsidRDefault="00D24A4B" w:rsidP="00D24A4B">
      <w:pPr>
        <w:pStyle w:val="BodyText"/>
      </w:pPr>
      <w:r w:rsidRPr="007D4EC3">
        <w:t xml:space="preserve">HPE has selected Unisys to assist HPE with providing onsite technical services, and Unisys is a committed partner to HPE to fulfill HPE obligations under contracted Statements of Work. </w:t>
      </w:r>
    </w:p>
    <w:p w14:paraId="63E412CF" w14:textId="77777777" w:rsidR="00D24A4B" w:rsidRDefault="00D24A4B" w:rsidP="00D24A4B">
      <w:pPr>
        <w:pStyle w:val="BodyText"/>
      </w:pPr>
      <w:r>
        <w:t xml:space="preserve">Workplace services are the core business for Unisys and their leadership is recognized industry-wide. They are one of the largest global field engineering forces in the world, ranking #1 in ability to execute by Gartner 2018.  </w:t>
      </w:r>
    </w:p>
    <w:p w14:paraId="3FB26D03" w14:textId="77777777" w:rsidR="00D24A4B" w:rsidRPr="001F2DC3" w:rsidRDefault="00D24A4B" w:rsidP="00D24A4B">
      <w:pPr>
        <w:pStyle w:val="BodyText"/>
      </w:pPr>
      <w:r w:rsidRPr="007D4EC3">
        <w:t>Contract requirements and Statements of Work, as applicable to Unisys performing as HPE’s authorized service provider, are extended to Unisys.</w:t>
      </w:r>
    </w:p>
    <w:p w14:paraId="3B0CCF73" w14:textId="77777777" w:rsidR="00D24A4B" w:rsidRDefault="00D24A4B" w:rsidP="00D24A4B">
      <w:pPr>
        <w:pStyle w:val="Heading30"/>
      </w:pPr>
      <w:bookmarkStart w:id="25" w:name="_Toc514418390"/>
      <w:bookmarkStart w:id="26" w:name="_Toc518548590"/>
      <w:r>
        <w:t>8.3</w:t>
      </w:r>
      <w:r>
        <w:tab/>
        <w:t>(E) Working with Purchasing Entities</w:t>
      </w:r>
      <w:bookmarkEnd w:id="25"/>
      <w:bookmarkEnd w:id="26"/>
    </w:p>
    <w:p w14:paraId="757F53ED" w14:textId="77777777" w:rsidR="00D24A4B" w:rsidRPr="006D5A1A" w:rsidRDefault="00D24A4B" w:rsidP="00D24A4B">
      <w:pPr>
        <w:keepNext/>
        <w:shd w:val="clear" w:color="auto" w:fill="E2EFD9" w:themeFill="accent6" w:themeFillTint="33"/>
        <w:spacing w:after="120" w:line="240" w:lineRule="auto"/>
        <w:rPr>
          <w:rFonts w:ascii="Arial" w:eastAsia="PMingLiU" w:hAnsi="Arial" w:cs="Times New Roman"/>
          <w:szCs w:val="20"/>
        </w:rPr>
      </w:pPr>
      <w:r w:rsidRPr="00E152C3">
        <w:rPr>
          <w:rFonts w:ascii="Arial" w:eastAsia="PMingLiU" w:hAnsi="Arial" w:cs="Times New Roman"/>
          <w:szCs w:val="20"/>
        </w:rPr>
        <w:t xml:space="preserve">HPE </w:t>
      </w:r>
      <w:r>
        <w:rPr>
          <w:rFonts w:ascii="Arial" w:eastAsia="PMingLiU" w:hAnsi="Arial" w:cs="Times New Roman"/>
          <w:szCs w:val="20"/>
        </w:rPr>
        <w:t>hybrid cloud</w:t>
      </w:r>
      <w:r w:rsidRPr="00E152C3">
        <w:rPr>
          <w:rFonts w:ascii="Arial" w:eastAsia="PMingLiU" w:hAnsi="Arial" w:cs="Times New Roman"/>
          <w:szCs w:val="20"/>
        </w:rPr>
        <w:t xml:space="preserve"> solution is a fully integrated system that delivers Azure compatible, software defined Infrastructure-as-a-Service (IaaS), Platform-as-a-Service (PaaS) on HPE hardware and Software-as-a-Service (SaaS) on Microsoft’ Azure public cloud is a superior offering for Purchasing Entity:</w:t>
      </w:r>
    </w:p>
    <w:p w14:paraId="30C3B38B" w14:textId="77777777" w:rsidR="00D24A4B" w:rsidRDefault="00D24A4B" w:rsidP="00486253">
      <w:pPr>
        <w:pStyle w:val="BodyText"/>
        <w:numPr>
          <w:ilvl w:val="0"/>
          <w:numId w:val="37"/>
        </w:numPr>
        <w:shd w:val="clear" w:color="auto" w:fill="E2EFD9" w:themeFill="accent6" w:themeFillTint="33"/>
        <w:rPr>
          <w:color w:val="auto"/>
        </w:rPr>
      </w:pPr>
      <w:r w:rsidRPr="00117430">
        <w:rPr>
          <w:color w:val="auto"/>
        </w:rPr>
        <w:t>Purchasing Entity can select operational managed services</w:t>
      </w:r>
    </w:p>
    <w:p w14:paraId="5ECBAC7E" w14:textId="77777777" w:rsidR="00D24A4B" w:rsidRDefault="00D24A4B" w:rsidP="00486253">
      <w:pPr>
        <w:pStyle w:val="BodyText"/>
        <w:numPr>
          <w:ilvl w:val="0"/>
          <w:numId w:val="37"/>
        </w:numPr>
        <w:shd w:val="clear" w:color="auto" w:fill="E2EFD9" w:themeFill="accent6" w:themeFillTint="33"/>
      </w:pPr>
      <w:r>
        <w:rPr>
          <w:color w:val="auto"/>
        </w:rPr>
        <w:t>M</w:t>
      </w:r>
      <w:r w:rsidRPr="00117430">
        <w:rPr>
          <w:color w:val="auto"/>
        </w:rPr>
        <w:t xml:space="preserve">utually agreed upon Account Support Plan (ASP) will be developed by the HPE </w:t>
      </w:r>
      <w:r>
        <w:rPr>
          <w:color w:val="auto"/>
        </w:rPr>
        <w:t>Account Support Manager (</w:t>
      </w:r>
      <w:r w:rsidRPr="00117430">
        <w:rPr>
          <w:color w:val="auto"/>
        </w:rPr>
        <w:t>ASM</w:t>
      </w:r>
      <w:r>
        <w:rPr>
          <w:color w:val="auto"/>
        </w:rPr>
        <w:t>)</w:t>
      </w:r>
      <w:r w:rsidRPr="00117430">
        <w:rPr>
          <w:color w:val="auto"/>
        </w:rPr>
        <w:t xml:space="preserve"> in conjunction with the Purchasing Entity’s IT staff.</w:t>
      </w:r>
    </w:p>
    <w:p w14:paraId="46A5452D" w14:textId="77777777" w:rsidR="00D24A4B" w:rsidRDefault="00D24A4B" w:rsidP="00D24A4B">
      <w:pPr>
        <w:pStyle w:val="Bullet1Double0"/>
        <w:shd w:val="clear" w:color="auto" w:fill="DBDCDD"/>
        <w:ind w:left="720" w:hanging="720"/>
      </w:pPr>
      <w:r>
        <w:t xml:space="preserve">8.3.1 </w:t>
      </w:r>
      <w:r>
        <w:tab/>
        <w:t xml:space="preserve">Offeror must describe how it will work with Purchasing Entities before, during, and after a Data Breach, as defined in the Attachments and Exhibits. Include information such as: </w:t>
      </w:r>
    </w:p>
    <w:p w14:paraId="4D5B9C4C" w14:textId="77777777" w:rsidR="00D24A4B" w:rsidRDefault="00D24A4B" w:rsidP="00D24A4B">
      <w:pPr>
        <w:pStyle w:val="Bullet2Double0"/>
        <w:shd w:val="clear" w:color="auto" w:fill="DBDCDD"/>
      </w:pPr>
      <w:r>
        <w:t>•</w:t>
      </w:r>
      <w:r>
        <w:tab/>
        <w:t xml:space="preserve">Personnel who will be involved at various stages, include detail on how the Contract Manager in Section 7 will be involved; </w:t>
      </w:r>
    </w:p>
    <w:p w14:paraId="4E87FE5A" w14:textId="77777777" w:rsidR="00D24A4B" w:rsidRDefault="00D24A4B" w:rsidP="00D24A4B">
      <w:pPr>
        <w:pStyle w:val="Bullet2Double0"/>
        <w:shd w:val="clear" w:color="auto" w:fill="DBDCDD"/>
      </w:pPr>
      <w:r>
        <w:t>•</w:t>
      </w:r>
      <w:r>
        <w:tab/>
        <w:t xml:space="preserve">Response times; </w:t>
      </w:r>
    </w:p>
    <w:p w14:paraId="5235AE5E" w14:textId="77777777" w:rsidR="00D24A4B" w:rsidRDefault="00D24A4B" w:rsidP="00D24A4B">
      <w:pPr>
        <w:pStyle w:val="Bullet2Double0"/>
        <w:shd w:val="clear" w:color="auto" w:fill="DBDCDD"/>
      </w:pPr>
      <w:r>
        <w:t>•</w:t>
      </w:r>
      <w:r>
        <w:tab/>
        <w:t xml:space="preserve">Processes and timelines; </w:t>
      </w:r>
    </w:p>
    <w:p w14:paraId="706F26A9" w14:textId="77777777" w:rsidR="00D24A4B" w:rsidRDefault="00D24A4B" w:rsidP="00D24A4B">
      <w:pPr>
        <w:pStyle w:val="Bullet2Double0"/>
        <w:shd w:val="clear" w:color="auto" w:fill="DBDCDD"/>
      </w:pPr>
      <w:r>
        <w:t>•</w:t>
      </w:r>
      <w:r>
        <w:tab/>
        <w:t xml:space="preserve">Methods of communication and assistance; and </w:t>
      </w:r>
    </w:p>
    <w:p w14:paraId="732B0B6A" w14:textId="77777777" w:rsidR="00D24A4B" w:rsidRPr="00C9396E" w:rsidRDefault="00D24A4B" w:rsidP="00D24A4B">
      <w:pPr>
        <w:pStyle w:val="Bullet2Double0"/>
        <w:shd w:val="clear" w:color="auto" w:fill="DBDCDD"/>
      </w:pPr>
      <w:r>
        <w:t>•</w:t>
      </w:r>
      <w:r>
        <w:tab/>
        <w:t>Other information vital to understanding the service you provide.\</w:t>
      </w:r>
    </w:p>
    <w:p w14:paraId="5561E29C" w14:textId="77777777" w:rsidR="00D24A4B" w:rsidRDefault="00D24A4B" w:rsidP="00D24A4B">
      <w:pPr>
        <w:pStyle w:val="Response"/>
      </w:pPr>
      <w:r>
        <w:t>Response:</w:t>
      </w:r>
    </w:p>
    <w:p w14:paraId="273F5350" w14:textId="77777777" w:rsidR="00D24A4B" w:rsidRDefault="00D24A4B" w:rsidP="00D24A4B">
      <w:pPr>
        <w:pStyle w:val="BodyText"/>
      </w:pPr>
      <w:r w:rsidRPr="000202C1">
        <w:t xml:space="preserve">The </w:t>
      </w:r>
      <w:r w:rsidRPr="006D5A1A">
        <w:t>HPE GreenLake Flex Capacity Packages</w:t>
      </w:r>
      <w:r>
        <w:t xml:space="preserve"> are</w:t>
      </w:r>
      <w:r w:rsidRPr="000202C1">
        <w:t xml:space="preserve"> installed at the Purchasing Entity site, thus giving the Purchasing Entity dedicated access to the Private Cloud infrastructure. This dedicated access provides complete control of the Cloud infrastructure (i.e., the Purchasing Entity is free to implement their own security standards and policies and, as a result of this, the Purchasing Entity assumes responsibility for security of its data).</w:t>
      </w:r>
      <w:r>
        <w:t xml:space="preserve"> </w:t>
      </w:r>
    </w:p>
    <w:p w14:paraId="436BF955" w14:textId="77777777" w:rsidR="00D24A4B" w:rsidRDefault="00D24A4B" w:rsidP="00D24A4B">
      <w:pPr>
        <w:pStyle w:val="BodyText"/>
      </w:pPr>
      <w:r>
        <w:lastRenderedPageBreak/>
        <w:t>HPE includes its Data Processing and Security Terms in Section 8. This document describes the Data Breach processes, response times, communication and assistance, and other vital information.</w:t>
      </w:r>
    </w:p>
    <w:p w14:paraId="2049007B" w14:textId="77777777" w:rsidR="00D24A4B" w:rsidRDefault="00D24A4B" w:rsidP="00D24A4B">
      <w:pPr>
        <w:pStyle w:val="BodyText"/>
      </w:pPr>
      <w:r>
        <w:t xml:space="preserve">Optionally, as part of the </w:t>
      </w:r>
      <w:r w:rsidRPr="006D5A1A">
        <w:t>GreenLake Flex Capacity Packages</w:t>
      </w:r>
      <w:r w:rsidRPr="006D5A1A" w:rsidDel="006D5A1A">
        <w:t xml:space="preserve"> </w:t>
      </w:r>
      <w:r>
        <w:t>offer, each Purchasing Entity can select operational managed services from a menu that can be acquired through HPE to assist in monitoring for security events.</w:t>
      </w:r>
      <w:r w:rsidRPr="007E4DE7">
        <w:t xml:space="preserve"> </w:t>
      </w:r>
      <w:r>
        <w:t>The monitoring activity (tooling-based approach) is provided 365 days a year, 24 hours a day, 7 days a week. The service currently holds ISO certification for security (ISO/IEC 27001).</w:t>
      </w:r>
    </w:p>
    <w:p w14:paraId="2BA436EB" w14:textId="77777777" w:rsidR="00D24A4B" w:rsidRPr="006D5A1A" w:rsidRDefault="00D24A4B" w:rsidP="00D24A4B">
      <w:pPr>
        <w:pStyle w:val="BodyText"/>
      </w:pPr>
      <w:r>
        <w:rPr>
          <w:noProof/>
          <w:lang w:val="en-GB" w:eastAsia="en-GB"/>
        </w:rPr>
        <w:t>The Contract Manager will c</w:t>
      </w:r>
      <w:r w:rsidRPr="000328AE">
        <w:rPr>
          <w:noProof/>
          <w:lang w:val="en-GB" w:eastAsia="en-GB"/>
        </w:rPr>
        <w:t>oordinate and support HPE response activities in the event of a data breach and report to status to NASPO ValuePoint</w:t>
      </w:r>
      <w:r>
        <w:rPr>
          <w:noProof/>
          <w:lang w:val="en-GB" w:eastAsia="en-GB"/>
        </w:rPr>
        <w:t>.</w:t>
      </w:r>
    </w:p>
    <w:p w14:paraId="55DB8CBE" w14:textId="77777777" w:rsidR="00D24A4B" w:rsidRDefault="00D24A4B" w:rsidP="00D24A4B">
      <w:pPr>
        <w:pStyle w:val="Bullet1Double0"/>
        <w:shd w:val="clear" w:color="auto" w:fill="DBDCDD"/>
        <w:ind w:left="720" w:hanging="720"/>
      </w:pPr>
      <w:r>
        <w:t>8.3.2</w:t>
      </w:r>
      <w:r>
        <w:tab/>
        <w:t>Offeror must describe how it will not engage in nor permit its agents to push adware, software, or marketing not explicitly authorized by the Participating Entity or the Master Agreement.</w:t>
      </w:r>
    </w:p>
    <w:p w14:paraId="62B337C7" w14:textId="77777777" w:rsidR="00D24A4B" w:rsidRDefault="00D24A4B" w:rsidP="00D24A4B">
      <w:pPr>
        <w:pStyle w:val="Response"/>
      </w:pPr>
      <w:r>
        <w:t>Response:</w:t>
      </w:r>
    </w:p>
    <w:p w14:paraId="106FB692" w14:textId="77777777" w:rsidR="00D24A4B" w:rsidRPr="001F2DC3" w:rsidRDefault="00D24A4B" w:rsidP="00D24A4B">
      <w:pPr>
        <w:pStyle w:val="BodyText"/>
      </w:pPr>
      <w:r w:rsidRPr="009368E4">
        <w:t xml:space="preserve">The </w:t>
      </w:r>
      <w:r w:rsidRPr="006D5A1A">
        <w:t>HPE GreenLake Flex Capacity Packages</w:t>
      </w:r>
      <w:r>
        <w:t xml:space="preserve"> are</w:t>
      </w:r>
      <w:r w:rsidRPr="009368E4">
        <w:t xml:space="preserve"> installed at the Purchasing Entity site and becomes the Purchasing Entity client’s responsibility for access to the system</w:t>
      </w:r>
      <w:r>
        <w:t xml:space="preserve">. As such, HPE does not have the ability to push adware, software or marketing. </w:t>
      </w:r>
      <w:r w:rsidRPr="009368E4">
        <w:t>HPE will not engage in nor permit its agents to push adware, software, or marketing not explicitly authorized by the Purchasing Entity.</w:t>
      </w:r>
    </w:p>
    <w:p w14:paraId="28BBBA62" w14:textId="77777777" w:rsidR="00D24A4B" w:rsidRDefault="00D24A4B" w:rsidP="00D24A4B">
      <w:pPr>
        <w:pStyle w:val="Bullet1Double0"/>
        <w:shd w:val="clear" w:color="auto" w:fill="DBDCDD"/>
        <w:ind w:left="720" w:hanging="720"/>
      </w:pPr>
      <w:r>
        <w:t>8.3.3</w:t>
      </w:r>
      <w:r>
        <w:tab/>
        <w:t>Offeror must describe whether its application-hosting environments support a user test/staging environment that is identical to production.</w:t>
      </w:r>
    </w:p>
    <w:p w14:paraId="44EA160C" w14:textId="77777777" w:rsidR="00D24A4B" w:rsidRDefault="00D24A4B" w:rsidP="00D24A4B">
      <w:pPr>
        <w:pStyle w:val="Response"/>
      </w:pPr>
      <w:r>
        <w:t>Response:</w:t>
      </w:r>
    </w:p>
    <w:p w14:paraId="635C9908" w14:textId="77777777" w:rsidR="00D24A4B" w:rsidRDefault="00D24A4B" w:rsidP="00D24A4B">
      <w:pPr>
        <w:pStyle w:val="BodyText"/>
      </w:pPr>
      <w:r w:rsidRPr="009368E4">
        <w:t xml:space="preserve">The </w:t>
      </w:r>
      <w:r w:rsidRPr="0089559B">
        <w:t>HPE GreenLake Flex Capacity Packages</w:t>
      </w:r>
      <w:r>
        <w:t xml:space="preserve"> are</w:t>
      </w:r>
      <w:r w:rsidRPr="009368E4" w:rsidDel="006D5A1A">
        <w:t xml:space="preserve"> </w:t>
      </w:r>
      <w:r w:rsidRPr="009368E4">
        <w:t>installed at the Purchasing Entity site and becomes the Purchasing Entity client’s responsibility for defining the environments of usage</w:t>
      </w:r>
      <w:r>
        <w:t xml:space="preserve"> and ensuring the environment is identical to production</w:t>
      </w:r>
      <w:r w:rsidRPr="009368E4">
        <w:t>.</w:t>
      </w:r>
      <w:r>
        <w:t xml:space="preserve"> HPE will work with the Purchasing Entity to ensure there is an identical environment, as necessary.</w:t>
      </w:r>
    </w:p>
    <w:p w14:paraId="7267BD77" w14:textId="77777777" w:rsidR="00D24A4B" w:rsidRDefault="00D24A4B" w:rsidP="00D24A4B">
      <w:pPr>
        <w:pStyle w:val="BodyText"/>
      </w:pPr>
      <w:r>
        <w:t>HPE offers a workshop for Azure Stack to assist in defining your Microsoft Azure initiative.</w:t>
      </w:r>
    </w:p>
    <w:p w14:paraId="10DC7E36" w14:textId="77777777" w:rsidR="00D24A4B" w:rsidRDefault="00D24A4B" w:rsidP="00D24A4B">
      <w:pPr>
        <w:pStyle w:val="FigureCaptionAuto"/>
      </w:pPr>
    </w:p>
    <w:p w14:paraId="75E29A62" w14:textId="77777777" w:rsidR="00D24A4B" w:rsidRPr="001F2DC3" w:rsidRDefault="00D24A4B" w:rsidP="00D24A4B">
      <w:pPr>
        <w:pStyle w:val="BodyText"/>
        <w:jc w:val="center"/>
      </w:pPr>
      <w:r>
        <w:rPr>
          <w:noProof/>
          <w:lang w:val="en-GB" w:eastAsia="en-GB"/>
        </w:rPr>
        <w:drawing>
          <wp:inline distT="0" distB="0" distL="0" distR="0" wp14:anchorId="57046DD0" wp14:editId="5FF59BED">
            <wp:extent cx="5624830" cy="2869565"/>
            <wp:effectExtent l="0" t="0" r="0" b="698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2307CDD.tmp"/>
                    <pic:cNvPicPr/>
                  </pic:nvPicPr>
                  <pic:blipFill>
                    <a:blip r:embed="rId27">
                      <a:extLst>
                        <a:ext uri="{28A0092B-C50C-407E-A947-70E740481C1C}">
                          <a14:useLocalDpi xmlns:a14="http://schemas.microsoft.com/office/drawing/2010/main" val="0"/>
                        </a:ext>
                      </a:extLst>
                    </a:blip>
                    <a:stretch>
                      <a:fillRect/>
                    </a:stretch>
                  </pic:blipFill>
                  <pic:spPr>
                    <a:xfrm>
                      <a:off x="0" y="0"/>
                      <a:ext cx="5624830" cy="2869565"/>
                    </a:xfrm>
                    <a:prstGeom prst="rect">
                      <a:avLst/>
                    </a:prstGeom>
                  </pic:spPr>
                </pic:pic>
              </a:graphicData>
            </a:graphic>
          </wp:inline>
        </w:drawing>
      </w:r>
    </w:p>
    <w:p w14:paraId="1149875B" w14:textId="77777777" w:rsidR="00D24A4B" w:rsidRDefault="00D24A4B" w:rsidP="00D24A4B">
      <w:pPr>
        <w:pStyle w:val="Bullet1Double0"/>
        <w:shd w:val="clear" w:color="auto" w:fill="DBDCDD"/>
        <w:ind w:left="720" w:hanging="720"/>
      </w:pPr>
      <w:r>
        <w:lastRenderedPageBreak/>
        <w:t>8.3.4</w:t>
      </w:r>
      <w:r>
        <w:tab/>
        <w:t>Offeror must describe whether or not its computer applications and Web sites are accessible to people with disabilities, and must comply with Participating Entity accessibility policies and the Americans with Disability Act, as applicable.</w:t>
      </w:r>
    </w:p>
    <w:p w14:paraId="4CDA7B4F" w14:textId="77777777" w:rsidR="00D24A4B" w:rsidRDefault="00D24A4B" w:rsidP="00D24A4B">
      <w:pPr>
        <w:pStyle w:val="Response"/>
      </w:pPr>
      <w:r>
        <w:t>Response:</w:t>
      </w:r>
    </w:p>
    <w:p w14:paraId="74B969F3" w14:textId="77777777" w:rsidR="00D24A4B" w:rsidRDefault="00D24A4B" w:rsidP="00D24A4B">
      <w:pPr>
        <w:pStyle w:val="BodyText"/>
      </w:pPr>
      <w:r>
        <w:t xml:space="preserve">HPE’s computer applications and Web sites are accessible to people with disabilities. </w:t>
      </w:r>
      <w:r w:rsidRPr="00884728">
        <w:t>HPE is committed to ensuring that its systems are accessible to people with disabilities and will ensure that the applicable Section 508 standards that apply to this contract, and any resulting efforts, are met.</w:t>
      </w:r>
      <w:r>
        <w:t xml:space="preserve"> HPE has published VPATs for our offerings, which are all available on HPE’s website.</w:t>
      </w:r>
    </w:p>
    <w:p w14:paraId="082290D5" w14:textId="77777777" w:rsidR="00D24A4B" w:rsidRDefault="00D24A4B" w:rsidP="00D24A4B">
      <w:pPr>
        <w:pStyle w:val="Bullet1Double0"/>
        <w:shd w:val="clear" w:color="auto" w:fill="DBDCDD"/>
        <w:ind w:left="720" w:hanging="720"/>
      </w:pPr>
      <w:r>
        <w:t>8.3.5</w:t>
      </w:r>
      <w:r>
        <w:tab/>
        <w:t>Offeror must describe whether or not its applications and content delivered through Web browsers are be accessible using current released versions of multiple browser platforms (such as Internet Explorer, Firefox, Chrome, and Safari) at  a minimum.</w:t>
      </w:r>
    </w:p>
    <w:p w14:paraId="311AF11B" w14:textId="77777777" w:rsidR="00D24A4B" w:rsidRDefault="00D24A4B" w:rsidP="00D24A4B">
      <w:pPr>
        <w:pStyle w:val="Response"/>
      </w:pPr>
      <w:r>
        <w:t>Response:</w:t>
      </w:r>
    </w:p>
    <w:p w14:paraId="71A05559" w14:textId="77777777" w:rsidR="00D24A4B" w:rsidRDefault="00D24A4B" w:rsidP="00D24A4B">
      <w:pPr>
        <w:pStyle w:val="BodyText"/>
      </w:pPr>
      <w:r w:rsidRPr="000202C1">
        <w:t xml:space="preserve">The </w:t>
      </w:r>
      <w:r w:rsidRPr="0089559B">
        <w:t>HPE GreenLake Flex Capacity Packages</w:t>
      </w:r>
      <w:r>
        <w:t xml:space="preserve"> will provide access to its content through Web browsers and are expected to support all standard browsers. As new versions of browsers become available, the applications will continue to deliver content at least with the compatibility settings until new releases are tested and certified. </w:t>
      </w:r>
    </w:p>
    <w:p w14:paraId="2EF72E8B" w14:textId="77777777" w:rsidR="00D24A4B" w:rsidRPr="001F2DC3" w:rsidRDefault="00D24A4B" w:rsidP="00D24A4B">
      <w:pPr>
        <w:pStyle w:val="BodyText"/>
      </w:pPr>
      <w:r w:rsidRPr="00884728">
        <w:t xml:space="preserve">HPE delivers its </w:t>
      </w:r>
      <w:r>
        <w:t>capacity</w:t>
      </w:r>
      <w:r w:rsidRPr="00884728">
        <w:t xml:space="preserve"> usage information and content through email accessible by Web browsers using the current released versions of multiple browser platforms including, but not limited to, Internet Explorer, Firefox, Chrome and Safari.</w:t>
      </w:r>
    </w:p>
    <w:p w14:paraId="5BC16409" w14:textId="77777777" w:rsidR="00D24A4B" w:rsidRDefault="00D24A4B" w:rsidP="00D24A4B">
      <w:pPr>
        <w:pStyle w:val="Bullet1Double0"/>
        <w:shd w:val="clear" w:color="auto" w:fill="DBDCDD"/>
        <w:ind w:left="720" w:hanging="720"/>
      </w:pPr>
      <w:r>
        <w:t>8.3.6</w:t>
      </w:r>
      <w:r>
        <w:tab/>
        <w:t>Offeror must describe how it will, prior to the execution of a Service Level Agreement, meet with the Purchasing Entity and cooperate and hold a meeting to determine whether any sensitive or personal information will be stored or used by the Offeror that is subject to any law, rule or regulation providing for specific compliance obligations.</w:t>
      </w:r>
    </w:p>
    <w:p w14:paraId="2527896F" w14:textId="77777777" w:rsidR="00D24A4B" w:rsidRDefault="00D24A4B" w:rsidP="00D24A4B">
      <w:pPr>
        <w:pStyle w:val="Response"/>
      </w:pPr>
      <w:r>
        <w:t>Response:</w:t>
      </w:r>
    </w:p>
    <w:p w14:paraId="78D02AD5" w14:textId="77777777" w:rsidR="00D24A4B" w:rsidRDefault="00D24A4B" w:rsidP="00D24A4B">
      <w:pPr>
        <w:pStyle w:val="BodyText"/>
      </w:pPr>
      <w:r w:rsidRPr="00884728">
        <w:t xml:space="preserve">The </w:t>
      </w:r>
      <w:r w:rsidRPr="006D5A1A">
        <w:t>HPE Gree</w:t>
      </w:r>
      <w:r>
        <w:t xml:space="preserve">nLake Flex Capacity Packages </w:t>
      </w:r>
      <w:r w:rsidRPr="00884728">
        <w:t>includes an account business planning meeting with the Purchasing Entity client to discuss all the parameters of the solution and to document all of the contacts required for execution.</w:t>
      </w:r>
      <w:r>
        <w:t xml:space="preserve"> This meeting will include whether any sensitive or personal information will be stored or used by HPE. </w:t>
      </w:r>
    </w:p>
    <w:p w14:paraId="65082078" w14:textId="77777777" w:rsidR="00D24A4B" w:rsidRPr="001F2DC3" w:rsidRDefault="00D24A4B" w:rsidP="00D24A4B">
      <w:pPr>
        <w:pStyle w:val="BodyText"/>
      </w:pPr>
      <w:r w:rsidRPr="00B92555">
        <w:t>Microsoft Azure Stack can be now integrated with Azure Government. Azure Stack has been assessed for FedRAMP Moderate (and offer security controls to comply with the requirements)</w:t>
      </w:r>
      <w:r>
        <w:t xml:space="preserve">. </w:t>
      </w:r>
    </w:p>
    <w:p w14:paraId="03D27570" w14:textId="77777777" w:rsidR="00D24A4B" w:rsidRDefault="00D24A4B" w:rsidP="00D24A4B">
      <w:pPr>
        <w:pStyle w:val="Bullet1Double0"/>
        <w:shd w:val="clear" w:color="auto" w:fill="DBDCDD"/>
        <w:ind w:left="720" w:hanging="720"/>
      </w:pPr>
      <w:r>
        <w:t>8.3.7</w:t>
      </w:r>
      <w:r>
        <w:tab/>
        <w:t xml:space="preserve">Offeror must describe any project schedule plans or work plans that Offerors use in implementing their Solutions with customers. Offerors should include timelines for developing, testing, and implementing Solutions for customers. </w:t>
      </w:r>
    </w:p>
    <w:p w14:paraId="3BEFF4FF" w14:textId="77777777" w:rsidR="00D24A4B" w:rsidRDefault="00D24A4B" w:rsidP="00D24A4B">
      <w:pPr>
        <w:pStyle w:val="Response"/>
      </w:pPr>
      <w:r>
        <w:t>Response:</w:t>
      </w:r>
    </w:p>
    <w:p w14:paraId="7F96B406" w14:textId="77777777" w:rsidR="00D24A4B" w:rsidRDefault="00D24A4B" w:rsidP="00D24A4B">
      <w:pPr>
        <w:pStyle w:val="BodyText"/>
      </w:pPr>
      <w:r>
        <w:t xml:space="preserve">Your assigned HPE Account Support Manager (ASM) provides personalized technical and operational advice, including HPE best practices gleaned from HPE’s broad support experience. </w:t>
      </w:r>
      <w:r w:rsidRPr="00884728">
        <w:t xml:space="preserve">Upon completion of the installation services, a mutually agreed upon Account Support Plan (ASP) will be developed by </w:t>
      </w:r>
      <w:r w:rsidRPr="0070679B">
        <w:t>the HPE ASM in conjunction</w:t>
      </w:r>
      <w:r w:rsidRPr="00884728">
        <w:t xml:space="preserve"> with the Purchasing Entity’s IT staff</w:t>
      </w:r>
      <w:r>
        <w:t xml:space="preserve">. </w:t>
      </w:r>
      <w:r w:rsidRPr="00884728">
        <w:t xml:space="preserve">The Purchasing Entity agrees to provide, in a timely manner, a knowledgeable resource to assist with the development of the ASP. The ASP will document the final review, testing, implementing of the </w:t>
      </w:r>
      <w:r>
        <w:t>S</w:t>
      </w:r>
      <w:r w:rsidRPr="00884728">
        <w:t xml:space="preserve">olution and other support aspects provided by the Service. The ASP also details roles and responsibilities, along with contact </w:t>
      </w:r>
      <w:r w:rsidRPr="00884728">
        <w:lastRenderedPageBreak/>
        <w:t xml:space="preserve">information and escalation procedures </w:t>
      </w:r>
      <w:r>
        <w:t>to</w:t>
      </w:r>
      <w:r w:rsidRPr="00884728">
        <w:t xml:space="preserve"> be completed with the Purchasing Entity as part of the startup phase of this service and routinely reviewed</w:t>
      </w:r>
      <w:r>
        <w:t xml:space="preserve">. </w:t>
      </w:r>
      <w:r w:rsidRPr="00884728">
        <w:t>Any changes to the ASP will require the agreement of both parties through the change management process.</w:t>
      </w:r>
      <w:r>
        <w:t xml:space="preserve"> An example timeline is listed below for developing, testing and implementing our proposal solution.</w:t>
      </w:r>
    </w:p>
    <w:p w14:paraId="53853EC4" w14:textId="77777777" w:rsidR="00D24A4B" w:rsidRDefault="00D24A4B" w:rsidP="00D24A4B">
      <w:pPr>
        <w:pStyle w:val="FigureCaptionAuto"/>
      </w:pPr>
      <w:r>
        <w:t>HPE GreenLake Flex Capacity Transition/Implementation Schedule</w:t>
      </w:r>
    </w:p>
    <w:p w14:paraId="39C5D752" w14:textId="77777777" w:rsidR="00D24A4B" w:rsidRDefault="00D24A4B" w:rsidP="00D24A4B">
      <w:pPr>
        <w:pStyle w:val="Figure"/>
        <w:ind w:left="-2340"/>
      </w:pPr>
      <w:r w:rsidRPr="00BF57E7">
        <w:rPr>
          <w:noProof/>
          <w:lang w:val="en-GB" w:eastAsia="en-GB"/>
        </w:rPr>
        <w:drawing>
          <wp:inline distT="0" distB="0" distL="0" distR="0" wp14:anchorId="6C6BCB5B" wp14:editId="7E655059">
            <wp:extent cx="7143750" cy="448022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155254" cy="4487438"/>
                    </a:xfrm>
                    <a:prstGeom prst="rect">
                      <a:avLst/>
                    </a:prstGeom>
                    <a:noFill/>
                    <a:ln>
                      <a:noFill/>
                    </a:ln>
                  </pic:spPr>
                </pic:pic>
              </a:graphicData>
            </a:graphic>
          </wp:inline>
        </w:drawing>
      </w:r>
      <w:r>
        <w:t xml:space="preserve"> </w:t>
      </w:r>
    </w:p>
    <w:p w14:paraId="75E230C3" w14:textId="77777777" w:rsidR="00D24A4B" w:rsidRDefault="00D24A4B" w:rsidP="00D24A4B">
      <w:pPr>
        <w:pStyle w:val="Bullet1Double0"/>
        <w:shd w:val="clear" w:color="auto" w:fill="DBDCDD"/>
        <w:ind w:left="720" w:hanging="720"/>
      </w:pPr>
      <w:r>
        <w:t>8.3.8</w:t>
      </w:r>
      <w:r>
        <w:tab/>
        <w:t>The State of Utah expects Offeror to update the services periodically as technology changes. Offer must describe:</w:t>
      </w:r>
    </w:p>
    <w:p w14:paraId="0175B017" w14:textId="77777777" w:rsidR="00D24A4B" w:rsidRDefault="00D24A4B" w:rsidP="00D24A4B">
      <w:pPr>
        <w:pStyle w:val="Bullet2Double0"/>
        <w:shd w:val="clear" w:color="auto" w:fill="DBDCDD"/>
      </w:pPr>
      <w:r>
        <w:t>•</w:t>
      </w:r>
      <w:r>
        <w:tab/>
        <w:t xml:space="preserve">How Offeror’s services during Service Line Additions and Updates pursuant to section 2.12 will continue to meet the requirements outlined therein. </w:t>
      </w:r>
    </w:p>
    <w:p w14:paraId="1AF11097" w14:textId="77777777" w:rsidR="00D24A4B" w:rsidRDefault="00D24A4B" w:rsidP="00D24A4B">
      <w:pPr>
        <w:pStyle w:val="Bullet2Double0"/>
        <w:shd w:val="clear" w:color="auto" w:fill="DBDCDD"/>
      </w:pPr>
      <w:r>
        <w:t>•</w:t>
      </w:r>
      <w:r>
        <w:tab/>
        <w:t>How Offeror will maintain discounts at the levels set forth in the contract.</w:t>
      </w:r>
    </w:p>
    <w:p w14:paraId="2D16271B" w14:textId="77777777" w:rsidR="00D24A4B" w:rsidRDefault="00D24A4B" w:rsidP="00D24A4B">
      <w:pPr>
        <w:pStyle w:val="Bullet2Double0"/>
        <w:shd w:val="clear" w:color="auto" w:fill="DBDCDD"/>
      </w:pPr>
      <w:r>
        <w:t>•</w:t>
      </w:r>
      <w:r>
        <w:tab/>
        <w:t>How Offeror will report to the Purchasing Entities, as needed, regarding changes in technology and make recommendations for service updates.</w:t>
      </w:r>
    </w:p>
    <w:p w14:paraId="45E70944" w14:textId="77777777" w:rsidR="00D24A4B" w:rsidRDefault="00D24A4B" w:rsidP="00D24A4B">
      <w:pPr>
        <w:pStyle w:val="Bullet2Double0"/>
        <w:shd w:val="clear" w:color="auto" w:fill="DBDCDD"/>
      </w:pPr>
      <w:r>
        <w:t>•</w:t>
      </w:r>
      <w:r>
        <w:tab/>
        <w:t xml:space="preserve">How Offeror will provide transition support to any Purchasing Entity whose operations may be negatively impacted by the service change. </w:t>
      </w:r>
    </w:p>
    <w:p w14:paraId="4B5B5EB7" w14:textId="77777777" w:rsidR="00D24A4B" w:rsidRDefault="00D24A4B" w:rsidP="00D24A4B">
      <w:pPr>
        <w:pStyle w:val="Response"/>
      </w:pPr>
      <w:r>
        <w:t>Response:</w:t>
      </w:r>
    </w:p>
    <w:p w14:paraId="0B4D6EF2" w14:textId="77777777" w:rsidR="00D24A4B" w:rsidRDefault="00D24A4B" w:rsidP="00D24A4B">
      <w:pPr>
        <w:pStyle w:val="BodyText"/>
      </w:pPr>
      <w:r>
        <w:t>During the term of the agreement, HPE will continue to be aligned with product and service enhancements being introduced and will provide information to the State on potential new additions that could be added at applicable charges.</w:t>
      </w:r>
    </w:p>
    <w:p w14:paraId="34A5F2EF" w14:textId="77777777" w:rsidR="00D24A4B" w:rsidRDefault="00D24A4B" w:rsidP="00D24A4B">
      <w:pPr>
        <w:pStyle w:val="BodyText"/>
      </w:pPr>
      <w:r w:rsidRPr="006D5A1A">
        <w:lastRenderedPageBreak/>
        <w:t xml:space="preserve">HPE </w:t>
      </w:r>
      <w:r>
        <w:t>will maintain discounts through the contract term for additional expansions and growth and pricing for a given solution based on the RFP’s specifications, with ability to even increase the discount on particular opportunities based on volume.</w:t>
      </w:r>
    </w:p>
    <w:p w14:paraId="5D659D6E" w14:textId="77777777" w:rsidR="00D24A4B" w:rsidRDefault="00D24A4B" w:rsidP="00D24A4B">
      <w:pPr>
        <w:pStyle w:val="BodyText"/>
      </w:pPr>
      <w:r>
        <w:t xml:space="preserve">With </w:t>
      </w:r>
      <w:r w:rsidRPr="006D5A1A">
        <w:t>HPE Gree</w:t>
      </w:r>
      <w:r>
        <w:t>nLake Flex Capacity Packages, a technical account team dedicated to the customer will provide ongoing account relationship and operational and technical advice and provide valuable information related to Operating system, firmware and other software/HW related updates that the customer may wish to consume. The details will be provided by in the ASP which will detail ongoing account review plans and cover aspects of the operations.</w:t>
      </w:r>
    </w:p>
    <w:p w14:paraId="1E55604D" w14:textId="77777777" w:rsidR="00D24A4B" w:rsidRDefault="00D24A4B" w:rsidP="00D24A4B">
      <w:pPr>
        <w:pStyle w:val="BodyText"/>
      </w:pPr>
      <w:r>
        <w:t>HPE is committed to maintaining the performance and uptime performance and will provide the purchasing entities timely response for any critical events and incidents as supported by the SLA agreements. HPE will make every commercially reasonable effort to ensure that any service change does not adversely impact the purchasing entity. With the elevated level of support being part of the GreenLake solution and dedicated account support team, HPE aims to resolve events and help through any service change impacts. In addition, during any new service implementations an assigned Transition Manager will work with the Purchasing Entity to ensure proper schedules, plans and maintenance windows are scheduled to perform specific service changes following established processes of the Purchasing Entity.</w:t>
      </w:r>
    </w:p>
    <w:p w14:paraId="4C5C2D8F" w14:textId="77777777" w:rsidR="00D24A4B" w:rsidRDefault="00D24A4B" w:rsidP="00D24A4B">
      <w:pPr>
        <w:pStyle w:val="BodyText"/>
      </w:pPr>
      <w:r>
        <w:t>HPE will work with each Purchasing Entity before, during and after every sale.</w:t>
      </w:r>
    </w:p>
    <w:p w14:paraId="074C9AA6" w14:textId="77777777" w:rsidR="00D24A4B" w:rsidRDefault="00D24A4B" w:rsidP="00D24A4B">
      <w:pPr>
        <w:pStyle w:val="Heading30"/>
      </w:pPr>
      <w:bookmarkStart w:id="27" w:name="_Toc514418391"/>
      <w:bookmarkStart w:id="28" w:name="_Toc518548591"/>
      <w:r>
        <w:t>8.4</w:t>
      </w:r>
      <w:r>
        <w:tab/>
        <w:t>(E) Customer Service</w:t>
      </w:r>
      <w:bookmarkEnd w:id="27"/>
      <w:bookmarkEnd w:id="28"/>
    </w:p>
    <w:p w14:paraId="20D581A9" w14:textId="77777777" w:rsidR="00D24A4B" w:rsidRPr="00420CA0" w:rsidRDefault="00D24A4B" w:rsidP="00D24A4B">
      <w:pPr>
        <w:keepNext/>
        <w:shd w:val="clear" w:color="auto" w:fill="E2EFD9" w:themeFill="accent6" w:themeFillTint="33"/>
        <w:spacing w:after="120" w:line="240" w:lineRule="auto"/>
        <w:rPr>
          <w:rFonts w:ascii="Arial" w:eastAsia="PMingLiU" w:hAnsi="Arial" w:cs="Times New Roman"/>
          <w:szCs w:val="20"/>
        </w:rPr>
      </w:pPr>
      <w:r w:rsidRPr="00F446FB">
        <w:rPr>
          <w:rFonts w:ascii="Arial" w:eastAsia="PMingLiU" w:hAnsi="Arial" w:cs="Times New Roman"/>
          <w:szCs w:val="20"/>
        </w:rPr>
        <w:t xml:space="preserve">HPE </w:t>
      </w:r>
      <w:r>
        <w:rPr>
          <w:rFonts w:ascii="Arial" w:eastAsia="PMingLiU" w:hAnsi="Arial" w:cs="Times New Roman"/>
          <w:szCs w:val="20"/>
        </w:rPr>
        <w:t>hybrid cloud</w:t>
      </w:r>
      <w:r w:rsidRPr="00F446FB">
        <w:rPr>
          <w:rFonts w:ascii="Arial" w:eastAsia="PMingLiU" w:hAnsi="Arial" w:cs="Times New Roman"/>
          <w:szCs w:val="20"/>
        </w:rPr>
        <w:t xml:space="preserve"> solution is a fully integrated system that delivers Azure compatible, software defined Infrastructure-as-a-Service (IaaS), Platform-as-a-Service (PaaS) on HPE hardware and Software-as-a-Service (SaaS) on Microsoft’ Azure public cloud</w:t>
      </w:r>
      <w:r>
        <w:rPr>
          <w:rFonts w:ascii="Arial" w:eastAsia="PMingLiU" w:hAnsi="Arial" w:cs="Times New Roman"/>
          <w:szCs w:val="20"/>
        </w:rPr>
        <w:t>. This</w:t>
      </w:r>
      <w:r w:rsidRPr="00F446FB">
        <w:rPr>
          <w:rFonts w:ascii="Arial" w:eastAsia="PMingLiU" w:hAnsi="Arial" w:cs="Times New Roman"/>
          <w:szCs w:val="20"/>
        </w:rPr>
        <w:t xml:space="preserve"> is a superior offering for Purchasing Entity</w:t>
      </w:r>
      <w:r>
        <w:rPr>
          <w:rFonts w:ascii="Arial" w:eastAsia="PMingLiU" w:hAnsi="Arial" w:cs="Times New Roman"/>
          <w:szCs w:val="20"/>
        </w:rPr>
        <w:t>, as HPE provides:</w:t>
      </w:r>
    </w:p>
    <w:p w14:paraId="39DC0271" w14:textId="77777777" w:rsidR="00D24A4B"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Pr>
          <w:rFonts w:ascii="Arial" w:eastAsia="PMingLiU" w:hAnsi="Arial" w:cs="Times New Roman"/>
          <w:szCs w:val="20"/>
        </w:rPr>
        <w:t xml:space="preserve">Phone support </w:t>
      </w:r>
      <w:r w:rsidRPr="00420CA0">
        <w:rPr>
          <w:rFonts w:ascii="Arial" w:eastAsia="PMingLiU" w:hAnsi="Arial" w:cs="Times New Roman"/>
          <w:szCs w:val="20"/>
        </w:rPr>
        <w:t>24 hours per day, 7 days per week</w:t>
      </w:r>
    </w:p>
    <w:p w14:paraId="48567EEB" w14:textId="77777777" w:rsidR="00D24A4B"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Pr>
          <w:rFonts w:ascii="Arial" w:eastAsia="PMingLiU" w:hAnsi="Arial" w:cs="Times New Roman"/>
          <w:szCs w:val="20"/>
        </w:rPr>
        <w:t>C</w:t>
      </w:r>
      <w:r w:rsidRPr="00420CA0">
        <w:rPr>
          <w:rFonts w:ascii="Arial" w:eastAsia="PMingLiU" w:hAnsi="Arial" w:cs="Times New Roman"/>
          <w:szCs w:val="20"/>
        </w:rPr>
        <w:t>onnect</w:t>
      </w:r>
      <w:r>
        <w:rPr>
          <w:rFonts w:ascii="Arial" w:eastAsia="PMingLiU" w:hAnsi="Arial" w:cs="Times New Roman"/>
          <w:szCs w:val="20"/>
        </w:rPr>
        <w:t>ion</w:t>
      </w:r>
      <w:r w:rsidRPr="00420CA0">
        <w:rPr>
          <w:rFonts w:ascii="Arial" w:eastAsia="PMingLiU" w:hAnsi="Arial" w:cs="Times New Roman"/>
          <w:szCs w:val="20"/>
        </w:rPr>
        <w:t xml:space="preserve"> to a remote technical HPE support specialist within the HPE Global Mission Critical Support Center</w:t>
      </w:r>
    </w:p>
    <w:p w14:paraId="394FDD5B" w14:textId="77777777" w:rsidR="00D24A4B" w:rsidRPr="00E6414A"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Pr>
          <w:rFonts w:ascii="Arial" w:eastAsia="PMingLiU" w:hAnsi="Arial" w:cs="Times New Roman"/>
          <w:szCs w:val="20"/>
        </w:rPr>
        <w:t>An</w:t>
      </w:r>
      <w:r w:rsidRPr="008E6D1F">
        <w:rPr>
          <w:rFonts w:ascii="Arial" w:eastAsia="PMingLiU" w:hAnsi="Arial" w:cs="Times New Roman"/>
          <w:szCs w:val="20"/>
        </w:rPr>
        <w:t xml:space="preserve"> assign</w:t>
      </w:r>
      <w:r>
        <w:rPr>
          <w:rFonts w:ascii="Arial" w:eastAsia="PMingLiU" w:hAnsi="Arial" w:cs="Times New Roman"/>
          <w:szCs w:val="20"/>
        </w:rPr>
        <w:t>ed</w:t>
      </w:r>
      <w:r w:rsidRPr="008E6D1F">
        <w:rPr>
          <w:rFonts w:ascii="Arial" w:eastAsia="PMingLiU" w:hAnsi="Arial" w:cs="Times New Roman"/>
          <w:szCs w:val="20"/>
        </w:rPr>
        <w:t xml:space="preserve"> Account Executive for each Purchasing Entity</w:t>
      </w:r>
    </w:p>
    <w:p w14:paraId="47EBB9AF" w14:textId="77777777" w:rsidR="00D24A4B" w:rsidRDefault="00D24A4B" w:rsidP="00D24A4B">
      <w:pPr>
        <w:pStyle w:val="Bullet1Double0"/>
        <w:shd w:val="clear" w:color="auto" w:fill="DBDCDD"/>
        <w:ind w:left="720" w:hanging="720"/>
      </w:pPr>
      <w:r>
        <w:t>8.4.1</w:t>
      </w:r>
      <w:r>
        <w:tab/>
        <w:t>Offeror must describe how it will ensure excellent customer service is provided to Purchasing Entities. Include:</w:t>
      </w:r>
    </w:p>
    <w:p w14:paraId="393F4F4F" w14:textId="77777777" w:rsidR="00D24A4B" w:rsidRDefault="00D24A4B" w:rsidP="00D24A4B">
      <w:pPr>
        <w:pStyle w:val="Bullet2Double0"/>
        <w:shd w:val="clear" w:color="auto" w:fill="DBDCDD"/>
      </w:pPr>
      <w:r>
        <w:t>•</w:t>
      </w:r>
      <w:r>
        <w:tab/>
        <w:t>Quality assurance measures;</w:t>
      </w:r>
    </w:p>
    <w:p w14:paraId="4CD25048" w14:textId="77777777" w:rsidR="00D24A4B" w:rsidRDefault="00D24A4B" w:rsidP="00D24A4B">
      <w:pPr>
        <w:pStyle w:val="Bullet2Double0"/>
        <w:shd w:val="clear" w:color="auto" w:fill="DBDCDD"/>
      </w:pPr>
      <w:r>
        <w:t>•</w:t>
      </w:r>
      <w:r>
        <w:tab/>
        <w:t>Escalation plan for addressing problems and/or complaints; and</w:t>
      </w:r>
    </w:p>
    <w:p w14:paraId="3B5EB80B" w14:textId="77777777" w:rsidR="00D24A4B" w:rsidRPr="00F04011" w:rsidRDefault="00D24A4B" w:rsidP="00D24A4B">
      <w:pPr>
        <w:pStyle w:val="Bullet2Double0"/>
        <w:shd w:val="clear" w:color="auto" w:fill="DBDCDD"/>
      </w:pPr>
      <w:r>
        <w:t>•</w:t>
      </w:r>
      <w:r>
        <w:tab/>
        <w:t xml:space="preserve">Service Level Agreement (SLA). </w:t>
      </w:r>
    </w:p>
    <w:p w14:paraId="3BC74853" w14:textId="77777777" w:rsidR="00D24A4B" w:rsidRDefault="00D24A4B" w:rsidP="00D24A4B">
      <w:pPr>
        <w:pStyle w:val="Response"/>
      </w:pPr>
      <w:r>
        <w:t>Response:</w:t>
      </w:r>
    </w:p>
    <w:p w14:paraId="672E792F" w14:textId="77777777" w:rsidR="00D24A4B" w:rsidRDefault="00D24A4B" w:rsidP="00D24A4B">
      <w:pPr>
        <w:pStyle w:val="Bullet1Double"/>
        <w:numPr>
          <w:ilvl w:val="0"/>
          <w:numId w:val="9"/>
        </w:numPr>
        <w:tabs>
          <w:tab w:val="clear" w:pos="0"/>
        </w:tabs>
        <w:ind w:left="360" w:hanging="360"/>
      </w:pPr>
      <w:r>
        <w:t xml:space="preserve">HPE Quality assurance measures include access to a HPE phone number, 24 hours per day, 7 days per week. </w:t>
      </w:r>
    </w:p>
    <w:p w14:paraId="7CEBE287" w14:textId="77777777" w:rsidR="00D24A4B" w:rsidRDefault="00D24A4B" w:rsidP="00D24A4B">
      <w:pPr>
        <w:pStyle w:val="BodyText"/>
      </w:pPr>
      <w:r>
        <w:t>Through HPE’s Quality Management System (QMS), Quality Requirements will be integrated into the design, development, purchasing, production, testing, services, and installation of each Participating Entities’ production units and systems.</w:t>
      </w:r>
    </w:p>
    <w:p w14:paraId="005E48D0" w14:textId="77777777" w:rsidR="00D24A4B" w:rsidRDefault="00D24A4B" w:rsidP="00D24A4B">
      <w:pPr>
        <w:pStyle w:val="BodyText"/>
      </w:pPr>
      <w:r>
        <w:t xml:space="preserve">The Quality Plan is comprised of HPE’s QMS quality processes that will be used to prevent and eliminate deficiencies. HPE’s Quality Management System (QMS) has been ISO 9001 certified since 1992, and is regularly assessed in order to ensure ongoing compliance, identify improvement opportunities and to propagate the sharing of best practices. HPE’s </w:t>
      </w:r>
      <w:r>
        <w:lastRenderedPageBreak/>
        <w:t>QMS complies with the requirements of BS EN ISO 9001:2015 and holds a Global ISO 9001 certificate, as well as regional ISO 9001 certificates.</w:t>
      </w:r>
    </w:p>
    <w:p w14:paraId="3C1BF91A" w14:textId="77777777" w:rsidR="00D24A4B" w:rsidRDefault="00D24A4B" w:rsidP="00D24A4B">
      <w:pPr>
        <w:pStyle w:val="BodyText"/>
      </w:pPr>
      <w:r>
        <w:t>Our regional certificate verifies compliance to ISO 9001 standards for the design and development of Servers, Networking products, and Converged Solutions, and sales order fulfilment, supply chain management, manufacturing, remanufacturing and delivery of Servers, Storage, Networking products and Converged Solutions within the Americas. The HPE ISO certification is displayed in Figure 19 below.</w:t>
      </w:r>
    </w:p>
    <w:p w14:paraId="1830345D" w14:textId="77777777" w:rsidR="00D24A4B" w:rsidRDefault="00D24A4B" w:rsidP="00D24A4B">
      <w:pPr>
        <w:pStyle w:val="FigureCaptionAuto"/>
      </w:pPr>
      <w:r w:rsidRPr="00BE5255">
        <w:t>QMS ISO 9001:2015 Certification</w:t>
      </w:r>
    </w:p>
    <w:p w14:paraId="0C559474" w14:textId="77777777" w:rsidR="00D24A4B" w:rsidRDefault="00D24A4B" w:rsidP="00D24A4B">
      <w:pPr>
        <w:pStyle w:val="Bullet1Double"/>
        <w:numPr>
          <w:ilvl w:val="0"/>
          <w:numId w:val="0"/>
        </w:numPr>
        <w:ind w:left="360"/>
      </w:pPr>
      <w:r w:rsidRPr="00BE5255">
        <w:rPr>
          <w:noProof/>
          <w:lang w:val="en-GB" w:eastAsia="en-GB"/>
        </w:rPr>
        <w:drawing>
          <wp:inline distT="0" distB="0" distL="0" distR="0" wp14:anchorId="0FC874ED" wp14:editId="183A4EB0">
            <wp:extent cx="3257143" cy="4733333"/>
            <wp:effectExtent l="0" t="0" r="63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57143" cy="4733333"/>
                    </a:xfrm>
                    <a:prstGeom prst="rect">
                      <a:avLst/>
                    </a:prstGeom>
                  </pic:spPr>
                </pic:pic>
              </a:graphicData>
            </a:graphic>
          </wp:inline>
        </w:drawing>
      </w:r>
    </w:p>
    <w:p w14:paraId="4A2CD040" w14:textId="77777777" w:rsidR="00D24A4B" w:rsidRDefault="00D24A4B" w:rsidP="00D24A4B">
      <w:pPr>
        <w:pStyle w:val="Subheading"/>
      </w:pPr>
    </w:p>
    <w:p w14:paraId="343E043D" w14:textId="77777777" w:rsidR="00D24A4B" w:rsidRDefault="00D24A4B" w:rsidP="00D24A4B">
      <w:pPr>
        <w:pStyle w:val="Subheading"/>
      </w:pPr>
      <w:r>
        <w:t>Quality Life Cycle</w:t>
      </w:r>
    </w:p>
    <w:p w14:paraId="4A355B98" w14:textId="77777777" w:rsidR="00D24A4B" w:rsidRDefault="00D24A4B" w:rsidP="00D24A4B">
      <w:pPr>
        <w:pStyle w:val="BodyText"/>
      </w:pPr>
      <w:r>
        <w:t>HPE has a comprehensive Quality Life Cycle (QLC) framework in place to ensure that it provides the highest quality of products and services to its customers. At each phase of the QLC (i.e. Plan it Right, Design it Right, Sell it Right, Source it Right, Build it Right and Support it Right) customer expectations and requirements are identified and embedded into the corporate framework (see Figure 19).</w:t>
      </w:r>
    </w:p>
    <w:p w14:paraId="7C07C256" w14:textId="77777777" w:rsidR="00D24A4B" w:rsidRDefault="00D24A4B" w:rsidP="00D24A4B">
      <w:pPr>
        <w:pStyle w:val="FigureCaptionAuto"/>
      </w:pPr>
      <w:r>
        <w:lastRenderedPageBreak/>
        <w:t>HPE Quality Life Cycle</w:t>
      </w:r>
    </w:p>
    <w:p w14:paraId="50B76191" w14:textId="77777777" w:rsidR="00D24A4B" w:rsidRDefault="00D24A4B" w:rsidP="00D24A4B">
      <w:pPr>
        <w:pStyle w:val="BodyText"/>
      </w:pPr>
      <w:r w:rsidRPr="00BE5255">
        <w:rPr>
          <w:noProof/>
          <w:lang w:val="en-GB" w:eastAsia="en-GB"/>
        </w:rPr>
        <w:drawing>
          <wp:inline distT="0" distB="0" distL="0" distR="0" wp14:anchorId="0FE97E52" wp14:editId="0B9FD51A">
            <wp:extent cx="5619048" cy="3047619"/>
            <wp:effectExtent l="0" t="0" r="1270"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619048" cy="3047619"/>
                    </a:xfrm>
                    <a:prstGeom prst="rect">
                      <a:avLst/>
                    </a:prstGeom>
                  </pic:spPr>
                </pic:pic>
              </a:graphicData>
            </a:graphic>
          </wp:inline>
        </w:drawing>
      </w:r>
    </w:p>
    <w:p w14:paraId="2626C920" w14:textId="77777777" w:rsidR="00D24A4B" w:rsidRDefault="00D24A4B" w:rsidP="00D24A4B">
      <w:pPr>
        <w:pStyle w:val="BodyText"/>
      </w:pPr>
      <w:r>
        <w:t>All quality measures are captured in HPE’s Quality Cloud where the results are monitored, analyzed, reviewed by management, and then actions are taken to drive improvements. The key quality measures for each stage of the QLC are summarized in Table 2, below:</w:t>
      </w:r>
    </w:p>
    <w:p w14:paraId="38FE951C" w14:textId="77777777" w:rsidR="00D24A4B" w:rsidRDefault="00D24A4B" w:rsidP="00D24A4B">
      <w:pPr>
        <w:pStyle w:val="TableCaptionAuto"/>
      </w:pPr>
      <w:r>
        <w:t>HPE Quality Measures</w:t>
      </w:r>
    </w:p>
    <w:tbl>
      <w:tblPr>
        <w:tblStyle w:val="TableGrid"/>
        <w:tblW w:w="6930" w:type="dxa"/>
        <w:tblInd w:w="1075" w:type="dxa"/>
        <w:tblLayout w:type="fixed"/>
        <w:tblCellMar>
          <w:top w:w="43" w:type="dxa"/>
          <w:left w:w="43" w:type="dxa"/>
          <w:bottom w:w="43" w:type="dxa"/>
          <w:right w:w="43" w:type="dxa"/>
        </w:tblCellMar>
        <w:tblLook w:val="04A0" w:firstRow="1" w:lastRow="0" w:firstColumn="1" w:lastColumn="0" w:noHBand="0" w:noVBand="1"/>
      </w:tblPr>
      <w:tblGrid>
        <w:gridCol w:w="2070"/>
        <w:gridCol w:w="4860"/>
      </w:tblGrid>
      <w:tr w:rsidR="00D24A4B" w:rsidRPr="00B81745" w14:paraId="50733E23" w14:textId="77777777" w:rsidTr="00C66137">
        <w:trPr>
          <w:tblHeader/>
        </w:trPr>
        <w:tc>
          <w:tcPr>
            <w:tcW w:w="2070" w:type="dxa"/>
            <w:shd w:val="clear" w:color="auto" w:fill="00B388"/>
          </w:tcPr>
          <w:p w14:paraId="19AB2DC3" w14:textId="77777777" w:rsidR="00D24A4B" w:rsidRPr="000837E5" w:rsidRDefault="00D24A4B" w:rsidP="00C66137">
            <w:pPr>
              <w:pStyle w:val="TableHeading10"/>
              <w:rPr>
                <w:rFonts w:ascii="Arial Narrow" w:hAnsi="Arial Narrow"/>
              </w:rPr>
            </w:pPr>
            <w:r w:rsidRPr="000837E5">
              <w:rPr>
                <w:rFonts w:ascii="Arial Narrow" w:hAnsi="Arial Narrow"/>
              </w:rPr>
              <w:t>QLC Phase</w:t>
            </w:r>
          </w:p>
        </w:tc>
        <w:tc>
          <w:tcPr>
            <w:tcW w:w="4860" w:type="dxa"/>
            <w:shd w:val="clear" w:color="auto" w:fill="00B388"/>
          </w:tcPr>
          <w:p w14:paraId="57075C78" w14:textId="77777777" w:rsidR="00D24A4B" w:rsidRPr="00B62A5B" w:rsidRDefault="00D24A4B" w:rsidP="00C66137">
            <w:pPr>
              <w:pStyle w:val="TableHeading10"/>
              <w:rPr>
                <w:rFonts w:ascii="Arial Narrow" w:hAnsi="Arial Narrow"/>
              </w:rPr>
            </w:pPr>
            <w:r w:rsidRPr="00B62A5B">
              <w:rPr>
                <w:rFonts w:ascii="Arial Narrow" w:hAnsi="Arial Narrow"/>
              </w:rPr>
              <w:t>Key Measures</w:t>
            </w:r>
          </w:p>
        </w:tc>
      </w:tr>
      <w:tr w:rsidR="00D24A4B" w:rsidRPr="00B81745" w14:paraId="577E3EF4" w14:textId="77777777" w:rsidTr="00C66137">
        <w:tc>
          <w:tcPr>
            <w:tcW w:w="2070" w:type="dxa"/>
            <w:vAlign w:val="center"/>
          </w:tcPr>
          <w:p w14:paraId="702396AF" w14:textId="77777777" w:rsidR="00D24A4B" w:rsidRPr="000837E5" w:rsidRDefault="00D24A4B" w:rsidP="00C66137">
            <w:pPr>
              <w:pStyle w:val="TableText10Single"/>
              <w:jc w:val="center"/>
              <w:rPr>
                <w:rFonts w:ascii="Arial Narrow" w:hAnsi="Arial Narrow"/>
              </w:rPr>
            </w:pPr>
            <w:r w:rsidRPr="000837E5">
              <w:rPr>
                <w:rFonts w:ascii="Arial Narrow" w:hAnsi="Arial Narrow"/>
              </w:rPr>
              <w:t>Plan it Right</w:t>
            </w:r>
          </w:p>
        </w:tc>
        <w:tc>
          <w:tcPr>
            <w:tcW w:w="4860" w:type="dxa"/>
          </w:tcPr>
          <w:p w14:paraId="2058ACD7" w14:textId="77777777" w:rsidR="00D24A4B" w:rsidRPr="00B62A5B" w:rsidRDefault="00D24A4B" w:rsidP="00D24A4B">
            <w:pPr>
              <w:pStyle w:val="TableText10Bullet1Single"/>
              <w:spacing w:after="0" w:line="240" w:lineRule="auto"/>
              <w:ind w:left="216" w:hanging="216"/>
              <w:rPr>
                <w:rFonts w:ascii="Arial Narrow" w:hAnsi="Arial Narrow"/>
              </w:rPr>
            </w:pPr>
            <w:r w:rsidRPr="00B62A5B">
              <w:rPr>
                <w:rFonts w:ascii="Arial Narrow" w:hAnsi="Arial Narrow"/>
              </w:rPr>
              <w:t>Customer Satisfaction / Loyalty – Net Promoter Score</w:t>
            </w:r>
          </w:p>
          <w:p w14:paraId="04EB71ED" w14:textId="77777777" w:rsidR="00D24A4B" w:rsidRPr="00B321F6" w:rsidRDefault="00D24A4B" w:rsidP="00D24A4B">
            <w:pPr>
              <w:pStyle w:val="TableText10Bullet1Single"/>
              <w:spacing w:after="0" w:line="240" w:lineRule="auto"/>
              <w:ind w:left="216" w:hanging="216"/>
              <w:rPr>
                <w:rFonts w:ascii="Arial Narrow" w:hAnsi="Arial Narrow"/>
              </w:rPr>
            </w:pPr>
            <w:r w:rsidRPr="00B321F6">
              <w:rPr>
                <w:rFonts w:ascii="Arial Narrow" w:hAnsi="Arial Narrow"/>
              </w:rPr>
              <w:t>Total Partner Experience</w:t>
            </w:r>
          </w:p>
        </w:tc>
      </w:tr>
      <w:tr w:rsidR="00D24A4B" w:rsidRPr="00B81745" w14:paraId="727048E8" w14:textId="77777777" w:rsidTr="00C66137">
        <w:tc>
          <w:tcPr>
            <w:tcW w:w="2070" w:type="dxa"/>
            <w:vAlign w:val="center"/>
          </w:tcPr>
          <w:p w14:paraId="2141F6C7" w14:textId="77777777" w:rsidR="00D24A4B" w:rsidRPr="000837E5" w:rsidRDefault="00D24A4B" w:rsidP="00C66137">
            <w:pPr>
              <w:pStyle w:val="TableText10Single"/>
              <w:jc w:val="center"/>
              <w:rPr>
                <w:rFonts w:ascii="Arial Narrow" w:hAnsi="Arial Narrow"/>
              </w:rPr>
            </w:pPr>
            <w:r w:rsidRPr="000837E5">
              <w:rPr>
                <w:rFonts w:ascii="Arial Narrow" w:hAnsi="Arial Narrow"/>
              </w:rPr>
              <w:t>Design it Right</w:t>
            </w:r>
          </w:p>
        </w:tc>
        <w:tc>
          <w:tcPr>
            <w:tcW w:w="4860" w:type="dxa"/>
          </w:tcPr>
          <w:p w14:paraId="7AA4E57D" w14:textId="77777777" w:rsidR="00D24A4B" w:rsidRPr="00B62A5B" w:rsidRDefault="00D24A4B" w:rsidP="00D24A4B">
            <w:pPr>
              <w:pStyle w:val="TableText10Bullet1Single"/>
              <w:spacing w:after="0" w:line="240" w:lineRule="auto"/>
              <w:ind w:left="216" w:hanging="216"/>
              <w:rPr>
                <w:rFonts w:ascii="Arial Narrow" w:hAnsi="Arial Narrow"/>
              </w:rPr>
            </w:pPr>
            <w:r w:rsidRPr="00B62A5B">
              <w:rPr>
                <w:rFonts w:ascii="Arial Narrow" w:hAnsi="Arial Narrow"/>
              </w:rPr>
              <w:t>Availability (Uptime)</w:t>
            </w:r>
          </w:p>
          <w:p w14:paraId="2304EB44" w14:textId="77777777" w:rsidR="00D24A4B" w:rsidRPr="00B321F6" w:rsidRDefault="00D24A4B" w:rsidP="00D24A4B">
            <w:pPr>
              <w:pStyle w:val="TableText10Bullet1Single"/>
              <w:spacing w:after="0" w:line="240" w:lineRule="auto"/>
              <w:ind w:left="216" w:hanging="216"/>
              <w:rPr>
                <w:rFonts w:ascii="Arial Narrow" w:hAnsi="Arial Narrow"/>
              </w:rPr>
            </w:pPr>
            <w:r w:rsidRPr="00B321F6">
              <w:rPr>
                <w:rFonts w:ascii="Arial Narrow" w:hAnsi="Arial Narrow"/>
              </w:rPr>
              <w:t>Annualized Outage Event Rate</w:t>
            </w:r>
          </w:p>
          <w:p w14:paraId="0EC2571D" w14:textId="77777777" w:rsidR="00D24A4B" w:rsidRPr="003D2805" w:rsidRDefault="00D24A4B" w:rsidP="00D24A4B">
            <w:pPr>
              <w:pStyle w:val="TableText10Bullet1Single"/>
              <w:spacing w:after="0" w:line="240" w:lineRule="auto"/>
              <w:ind w:left="216" w:hanging="216"/>
              <w:rPr>
                <w:rFonts w:ascii="Arial Narrow" w:hAnsi="Arial Narrow"/>
              </w:rPr>
            </w:pPr>
            <w:r w:rsidRPr="003D2805">
              <w:rPr>
                <w:rFonts w:ascii="Arial Narrow" w:hAnsi="Arial Narrow"/>
              </w:rPr>
              <w:t>Outage Duration</w:t>
            </w:r>
          </w:p>
          <w:p w14:paraId="5094AAFB" w14:textId="77777777" w:rsidR="00D24A4B" w:rsidRPr="003D2805" w:rsidRDefault="00D24A4B" w:rsidP="00D24A4B">
            <w:pPr>
              <w:pStyle w:val="TableText10Bullet1Single"/>
              <w:spacing w:after="0" w:line="240" w:lineRule="auto"/>
              <w:ind w:left="216" w:hanging="216"/>
              <w:rPr>
                <w:rFonts w:ascii="Arial Narrow" w:hAnsi="Arial Narrow"/>
              </w:rPr>
            </w:pPr>
            <w:r w:rsidRPr="003D2805">
              <w:rPr>
                <w:rFonts w:ascii="Arial Narrow" w:hAnsi="Arial Narrow"/>
              </w:rPr>
              <w:t>Mean Time Between Failure</w:t>
            </w:r>
          </w:p>
        </w:tc>
      </w:tr>
      <w:tr w:rsidR="00D24A4B" w:rsidRPr="00B81745" w14:paraId="7C7D3020" w14:textId="77777777" w:rsidTr="00C66137">
        <w:tc>
          <w:tcPr>
            <w:tcW w:w="2070" w:type="dxa"/>
            <w:vAlign w:val="center"/>
          </w:tcPr>
          <w:p w14:paraId="58A9D16F" w14:textId="77777777" w:rsidR="00D24A4B" w:rsidRPr="000837E5" w:rsidRDefault="00D24A4B" w:rsidP="00C66137">
            <w:pPr>
              <w:pStyle w:val="TableText10Single"/>
              <w:jc w:val="center"/>
              <w:rPr>
                <w:rFonts w:ascii="Arial Narrow" w:hAnsi="Arial Narrow"/>
              </w:rPr>
            </w:pPr>
            <w:r w:rsidRPr="000837E5">
              <w:rPr>
                <w:rFonts w:ascii="Arial Narrow" w:hAnsi="Arial Narrow"/>
              </w:rPr>
              <w:t>Sell it Right</w:t>
            </w:r>
          </w:p>
        </w:tc>
        <w:tc>
          <w:tcPr>
            <w:tcW w:w="4860" w:type="dxa"/>
          </w:tcPr>
          <w:p w14:paraId="05D4718F" w14:textId="77777777" w:rsidR="00D24A4B" w:rsidRPr="00B62A5B" w:rsidRDefault="00D24A4B" w:rsidP="00D24A4B">
            <w:pPr>
              <w:pStyle w:val="TableText10Bullet1Single"/>
              <w:spacing w:after="0" w:line="240" w:lineRule="auto"/>
              <w:ind w:left="216" w:hanging="216"/>
              <w:rPr>
                <w:rFonts w:ascii="Arial Narrow" w:hAnsi="Arial Narrow"/>
              </w:rPr>
            </w:pPr>
            <w:r w:rsidRPr="00B62A5B">
              <w:rPr>
                <w:rFonts w:ascii="Arial Narrow" w:hAnsi="Arial Narrow"/>
              </w:rPr>
              <w:t>New Production Introduction and Adoption rate</w:t>
            </w:r>
          </w:p>
          <w:p w14:paraId="42153372" w14:textId="77777777" w:rsidR="00D24A4B" w:rsidRPr="00B321F6" w:rsidRDefault="00D24A4B" w:rsidP="00D24A4B">
            <w:pPr>
              <w:pStyle w:val="TableText10Bullet1Single"/>
              <w:spacing w:after="0" w:line="240" w:lineRule="auto"/>
              <w:ind w:left="216" w:hanging="216"/>
              <w:rPr>
                <w:rFonts w:ascii="Arial Narrow" w:hAnsi="Arial Narrow"/>
              </w:rPr>
            </w:pPr>
            <w:r w:rsidRPr="00B321F6">
              <w:rPr>
                <w:rFonts w:ascii="Arial Narrow" w:hAnsi="Arial Narrow"/>
              </w:rPr>
              <w:t>Sales Customer Satisfaction survey</w:t>
            </w:r>
          </w:p>
          <w:p w14:paraId="4263749B" w14:textId="77777777" w:rsidR="00D24A4B" w:rsidRPr="003D2805" w:rsidRDefault="00D24A4B" w:rsidP="00D24A4B">
            <w:pPr>
              <w:pStyle w:val="TableText10Bullet1Single"/>
              <w:spacing w:after="0" w:line="240" w:lineRule="auto"/>
              <w:ind w:left="216" w:hanging="216"/>
              <w:rPr>
                <w:rFonts w:ascii="Arial Narrow" w:hAnsi="Arial Narrow"/>
              </w:rPr>
            </w:pPr>
            <w:r w:rsidRPr="003D2805">
              <w:rPr>
                <w:rFonts w:ascii="Arial Narrow" w:hAnsi="Arial Narrow"/>
              </w:rPr>
              <w:t>Deliver to First Commit</w:t>
            </w:r>
          </w:p>
        </w:tc>
      </w:tr>
      <w:tr w:rsidR="00D24A4B" w:rsidRPr="00B81745" w14:paraId="46EC5E84" w14:textId="77777777" w:rsidTr="00C66137">
        <w:tc>
          <w:tcPr>
            <w:tcW w:w="2070" w:type="dxa"/>
            <w:vAlign w:val="center"/>
          </w:tcPr>
          <w:p w14:paraId="69AC4950" w14:textId="77777777" w:rsidR="00D24A4B" w:rsidRPr="000837E5" w:rsidRDefault="00D24A4B" w:rsidP="00C66137">
            <w:pPr>
              <w:pStyle w:val="TableText10Single"/>
              <w:jc w:val="center"/>
              <w:rPr>
                <w:rFonts w:ascii="Arial Narrow" w:hAnsi="Arial Narrow"/>
              </w:rPr>
            </w:pPr>
            <w:r w:rsidRPr="000837E5">
              <w:rPr>
                <w:rFonts w:ascii="Arial Narrow" w:hAnsi="Arial Narrow"/>
              </w:rPr>
              <w:t>Source it Right</w:t>
            </w:r>
          </w:p>
        </w:tc>
        <w:tc>
          <w:tcPr>
            <w:tcW w:w="4860" w:type="dxa"/>
          </w:tcPr>
          <w:p w14:paraId="11856E7D" w14:textId="77777777" w:rsidR="00D24A4B" w:rsidRPr="00B62A5B" w:rsidRDefault="00D24A4B" w:rsidP="00D24A4B">
            <w:pPr>
              <w:pStyle w:val="TableText10Bullet1Single"/>
              <w:spacing w:after="0" w:line="240" w:lineRule="auto"/>
              <w:ind w:left="216" w:hanging="216"/>
              <w:rPr>
                <w:rFonts w:ascii="Arial Narrow" w:hAnsi="Arial Narrow"/>
              </w:rPr>
            </w:pPr>
            <w:r w:rsidRPr="00B62A5B">
              <w:rPr>
                <w:rFonts w:ascii="Arial Narrow" w:hAnsi="Arial Narrow"/>
              </w:rPr>
              <w:t>Defective Parts per Million</w:t>
            </w:r>
          </w:p>
        </w:tc>
      </w:tr>
      <w:tr w:rsidR="00D24A4B" w:rsidRPr="00B81745" w14:paraId="46627EA8" w14:textId="77777777" w:rsidTr="00C66137">
        <w:tc>
          <w:tcPr>
            <w:tcW w:w="2070" w:type="dxa"/>
            <w:vAlign w:val="center"/>
          </w:tcPr>
          <w:p w14:paraId="74F2D520" w14:textId="77777777" w:rsidR="00D24A4B" w:rsidRPr="000837E5" w:rsidRDefault="00D24A4B" w:rsidP="00C66137">
            <w:pPr>
              <w:pStyle w:val="TableText10Single"/>
              <w:jc w:val="center"/>
              <w:rPr>
                <w:rFonts w:ascii="Arial Narrow" w:hAnsi="Arial Narrow"/>
              </w:rPr>
            </w:pPr>
            <w:r w:rsidRPr="000837E5">
              <w:rPr>
                <w:rFonts w:ascii="Arial Narrow" w:hAnsi="Arial Narrow"/>
              </w:rPr>
              <w:t>Build it Right</w:t>
            </w:r>
          </w:p>
        </w:tc>
        <w:tc>
          <w:tcPr>
            <w:tcW w:w="4860" w:type="dxa"/>
          </w:tcPr>
          <w:p w14:paraId="22E73166" w14:textId="77777777" w:rsidR="00D24A4B" w:rsidRPr="00B62A5B" w:rsidRDefault="00D24A4B" w:rsidP="00D24A4B">
            <w:pPr>
              <w:pStyle w:val="TableText10Bullet1Single"/>
              <w:spacing w:after="0" w:line="240" w:lineRule="auto"/>
              <w:ind w:left="216" w:hanging="216"/>
              <w:rPr>
                <w:rFonts w:ascii="Arial Narrow" w:hAnsi="Arial Narrow"/>
              </w:rPr>
            </w:pPr>
            <w:r w:rsidRPr="00B62A5B">
              <w:rPr>
                <w:rFonts w:ascii="Arial Narrow" w:hAnsi="Arial Narrow"/>
              </w:rPr>
              <w:t>First Pass Yield</w:t>
            </w:r>
          </w:p>
          <w:p w14:paraId="1A5EEACD" w14:textId="77777777" w:rsidR="00D24A4B" w:rsidRPr="00B321F6" w:rsidRDefault="00D24A4B" w:rsidP="00D24A4B">
            <w:pPr>
              <w:pStyle w:val="TableText10Bullet1Single"/>
              <w:spacing w:after="0" w:line="240" w:lineRule="auto"/>
              <w:ind w:left="216" w:hanging="216"/>
              <w:rPr>
                <w:rFonts w:ascii="Arial Narrow" w:hAnsi="Arial Narrow"/>
              </w:rPr>
            </w:pPr>
            <w:r w:rsidRPr="00B321F6">
              <w:rPr>
                <w:rFonts w:ascii="Arial Narrow" w:hAnsi="Arial Narrow"/>
              </w:rPr>
              <w:t>Out of box failure rate</w:t>
            </w:r>
          </w:p>
        </w:tc>
      </w:tr>
      <w:tr w:rsidR="00D24A4B" w:rsidRPr="00B81745" w14:paraId="4E787B41" w14:textId="77777777" w:rsidTr="00C66137">
        <w:tc>
          <w:tcPr>
            <w:tcW w:w="2070" w:type="dxa"/>
            <w:vAlign w:val="center"/>
          </w:tcPr>
          <w:p w14:paraId="4BA1D81C" w14:textId="77777777" w:rsidR="00D24A4B" w:rsidRPr="001615C1" w:rsidRDefault="00D24A4B" w:rsidP="00C66137">
            <w:pPr>
              <w:pStyle w:val="TableText10Single"/>
              <w:jc w:val="center"/>
              <w:rPr>
                <w:rFonts w:ascii="Arial Narrow" w:hAnsi="Arial Narrow"/>
              </w:rPr>
            </w:pPr>
            <w:r w:rsidRPr="000837E5">
              <w:rPr>
                <w:rFonts w:ascii="Arial Narrow" w:hAnsi="Arial Narrow"/>
              </w:rPr>
              <w:t>Support it R</w:t>
            </w:r>
            <w:r w:rsidRPr="001615C1">
              <w:rPr>
                <w:rFonts w:ascii="Arial Narrow" w:hAnsi="Arial Narrow"/>
              </w:rPr>
              <w:t>ight</w:t>
            </w:r>
          </w:p>
        </w:tc>
        <w:tc>
          <w:tcPr>
            <w:tcW w:w="4860" w:type="dxa"/>
          </w:tcPr>
          <w:p w14:paraId="1AEC854A" w14:textId="77777777" w:rsidR="00D24A4B" w:rsidRPr="00B62A5B" w:rsidRDefault="00D24A4B" w:rsidP="00D24A4B">
            <w:pPr>
              <w:pStyle w:val="TableText10Bullet1Single"/>
              <w:spacing w:after="0" w:line="240" w:lineRule="auto"/>
              <w:ind w:left="216" w:hanging="216"/>
              <w:rPr>
                <w:rFonts w:ascii="Arial Narrow" w:hAnsi="Arial Narrow"/>
              </w:rPr>
            </w:pPr>
            <w:r w:rsidRPr="00B62A5B">
              <w:rPr>
                <w:rFonts w:ascii="Arial Narrow" w:hAnsi="Arial Narrow"/>
              </w:rPr>
              <w:t>Customer Satisfaction / Dissatisfaction</w:t>
            </w:r>
          </w:p>
          <w:p w14:paraId="7EC2168F" w14:textId="77777777" w:rsidR="00D24A4B" w:rsidRPr="00B321F6" w:rsidRDefault="00D24A4B" w:rsidP="00D24A4B">
            <w:pPr>
              <w:pStyle w:val="TableText10Bullet1Single"/>
              <w:spacing w:after="0" w:line="240" w:lineRule="auto"/>
              <w:ind w:left="216" w:hanging="216"/>
              <w:rPr>
                <w:rFonts w:ascii="Arial Narrow" w:hAnsi="Arial Narrow"/>
              </w:rPr>
            </w:pPr>
            <w:r w:rsidRPr="00B321F6">
              <w:rPr>
                <w:rFonts w:ascii="Arial Narrow" w:hAnsi="Arial Narrow"/>
              </w:rPr>
              <w:t>End to End Resolution Time</w:t>
            </w:r>
          </w:p>
          <w:p w14:paraId="76E8725E" w14:textId="77777777" w:rsidR="00D24A4B" w:rsidRPr="003D2805" w:rsidRDefault="00D24A4B" w:rsidP="00D24A4B">
            <w:pPr>
              <w:pStyle w:val="TableText10Bullet1Single"/>
              <w:spacing w:after="0" w:line="240" w:lineRule="auto"/>
              <w:ind w:left="216" w:hanging="216"/>
              <w:rPr>
                <w:rFonts w:ascii="Arial Narrow" w:hAnsi="Arial Narrow"/>
              </w:rPr>
            </w:pPr>
            <w:r w:rsidRPr="003D2805">
              <w:rPr>
                <w:rFonts w:ascii="Arial Narrow" w:hAnsi="Arial Narrow"/>
              </w:rPr>
              <w:t>First Time Fix</w:t>
            </w:r>
          </w:p>
        </w:tc>
      </w:tr>
    </w:tbl>
    <w:p w14:paraId="7F1D573C" w14:textId="77777777" w:rsidR="00D24A4B" w:rsidRDefault="00D24A4B" w:rsidP="00D24A4B">
      <w:pPr>
        <w:pStyle w:val="Subheading"/>
      </w:pPr>
    </w:p>
    <w:p w14:paraId="23A884D8" w14:textId="77777777" w:rsidR="00D24A4B" w:rsidRDefault="00D24A4B" w:rsidP="00D24A4B">
      <w:pPr>
        <w:pStyle w:val="Subheading"/>
      </w:pPr>
      <w:r>
        <w:t>Escalation</w:t>
      </w:r>
    </w:p>
    <w:p w14:paraId="12FD299D" w14:textId="77777777" w:rsidR="00D24A4B" w:rsidRDefault="00D24A4B" w:rsidP="00D24A4B">
      <w:pPr>
        <w:pStyle w:val="BodyText"/>
      </w:pPr>
      <w:r>
        <w:t xml:space="preserve">HPE uses an Issue resolution process to manage Service issues between Customer and HPE. This process comprises an Issue resolution form and Issue escalation table (see example Escalation Table 4 below) that HPE and Customer mutually develop. The Customer or HPE requestor submits an Issue resolution form to log an issue and initiate the escalation process. The Issue resolution process adheres to the escalation process that is outlined by the Issue escalation table. This table defines the level 1, 2, 3, and 4 </w:t>
      </w:r>
      <w:r>
        <w:lastRenderedPageBreak/>
        <w:t>escalation managers for Customer and HPE. When a manager level is unable to agree on an issue resolution plan within five business days of receiving the Issue resolution form or initially meeting to discuss the issue, then the issue is escalated to the next management level for evaluation.</w:t>
      </w:r>
    </w:p>
    <w:p w14:paraId="15322908" w14:textId="77777777" w:rsidR="00D24A4B" w:rsidRDefault="00D24A4B" w:rsidP="00D24A4B">
      <w:pPr>
        <w:pStyle w:val="BodyText"/>
      </w:pPr>
      <w:r>
        <w:t>For each management level, the issue and escalation process typically follows these steps:</w:t>
      </w:r>
    </w:p>
    <w:p w14:paraId="405CC5D6" w14:textId="77777777" w:rsidR="00D24A4B" w:rsidRDefault="00D24A4B" w:rsidP="00D24A4B">
      <w:pPr>
        <w:pStyle w:val="Numbers1Double"/>
      </w:pPr>
      <w:r>
        <w:t>1.</w:t>
      </w:r>
      <w:r>
        <w:tab/>
        <w:t>A Customer or HPE requester submits a completed Issue resolution form for an issue to the level 1 manager(s).</w:t>
      </w:r>
    </w:p>
    <w:p w14:paraId="421E89D8" w14:textId="77777777" w:rsidR="00D24A4B" w:rsidRDefault="00D24A4B" w:rsidP="00D24A4B">
      <w:pPr>
        <w:pStyle w:val="Numbers1Double"/>
      </w:pPr>
      <w:r>
        <w:t>2.</w:t>
      </w:r>
      <w:r>
        <w:tab/>
        <w:t>Each level of manager:</w:t>
      </w:r>
    </w:p>
    <w:p w14:paraId="289AFAE9" w14:textId="77777777" w:rsidR="00D24A4B" w:rsidRDefault="00D24A4B" w:rsidP="00D24A4B">
      <w:pPr>
        <w:pStyle w:val="Bullet2Double"/>
        <w:numPr>
          <w:ilvl w:val="0"/>
          <w:numId w:val="11"/>
        </w:numPr>
        <w:tabs>
          <w:tab w:val="clear" w:pos="360"/>
        </w:tabs>
        <w:ind w:left="720" w:hanging="360"/>
      </w:pPr>
      <w:r>
        <w:t>Evaluates the issue</w:t>
      </w:r>
    </w:p>
    <w:p w14:paraId="5C989582" w14:textId="77777777" w:rsidR="00D24A4B" w:rsidRDefault="00D24A4B" w:rsidP="00D24A4B">
      <w:pPr>
        <w:pStyle w:val="Bullet2Double"/>
        <w:numPr>
          <w:ilvl w:val="0"/>
          <w:numId w:val="11"/>
        </w:numPr>
        <w:tabs>
          <w:tab w:val="clear" w:pos="360"/>
        </w:tabs>
        <w:ind w:left="720" w:hanging="360"/>
      </w:pPr>
      <w:r>
        <w:t>Communicates their issue disposition to the requester</w:t>
      </w:r>
    </w:p>
    <w:p w14:paraId="64AC8666" w14:textId="77777777" w:rsidR="00D24A4B" w:rsidRDefault="00D24A4B" w:rsidP="00D24A4B">
      <w:pPr>
        <w:pStyle w:val="Bullet2Double"/>
        <w:numPr>
          <w:ilvl w:val="0"/>
          <w:numId w:val="11"/>
        </w:numPr>
        <w:tabs>
          <w:tab w:val="clear" w:pos="360"/>
        </w:tabs>
        <w:ind w:left="720" w:hanging="360"/>
      </w:pPr>
      <w:r>
        <w:t>Develops a plan to resolve the issue and upon mutual concurrence, implements the plan and closes the issue</w:t>
      </w:r>
    </w:p>
    <w:p w14:paraId="49ACDFA8" w14:textId="77777777" w:rsidR="00D24A4B" w:rsidRDefault="00D24A4B" w:rsidP="00D24A4B">
      <w:pPr>
        <w:pStyle w:val="Numbers1Double"/>
      </w:pPr>
      <w:r>
        <w:t>3.</w:t>
      </w:r>
      <w:r>
        <w:tab/>
        <w:t>If a manager level is unable to agree on a plan for resolving the issue within five business days of receiving the Issue resolution form or initially meeting to discuss the issue, then either of the level’s Customer or HPE manager(s) may escalate the issue to the next manager level and request them to meet to evaluate the issue.</w:t>
      </w:r>
    </w:p>
    <w:p w14:paraId="080CF964" w14:textId="77777777" w:rsidR="00D24A4B" w:rsidRPr="00BE5255" w:rsidRDefault="00D24A4B" w:rsidP="00D24A4B">
      <w:pPr>
        <w:pStyle w:val="BodyText"/>
      </w:pPr>
      <w:r>
        <w:t>The requester has the opportunity to acknowledge acceptance of the resolution. In the event that the level 4 manager(s) are unable to resolve an issue, either the Customer or HPE party may escalate the issue to the organizations’ appropriate Senior Management.</w:t>
      </w:r>
    </w:p>
    <w:p w14:paraId="74C81E22" w14:textId="77777777" w:rsidR="00D24A4B" w:rsidRDefault="00D24A4B" w:rsidP="00D24A4B">
      <w:pPr>
        <w:pStyle w:val="TableCaptionAuto"/>
      </w:pPr>
      <w:r>
        <w:t>HPE Escalation Plan</w:t>
      </w:r>
    </w:p>
    <w:tbl>
      <w:tblPr>
        <w:tblStyle w:val="TableGrid"/>
        <w:tblW w:w="8858" w:type="dxa"/>
        <w:tblInd w:w="14" w:type="dxa"/>
        <w:tblLayout w:type="fixed"/>
        <w:tblCellMar>
          <w:top w:w="43" w:type="dxa"/>
          <w:left w:w="43" w:type="dxa"/>
          <w:bottom w:w="43" w:type="dxa"/>
          <w:right w:w="43" w:type="dxa"/>
        </w:tblCellMar>
        <w:tblLook w:val="04A0" w:firstRow="1" w:lastRow="0" w:firstColumn="1" w:lastColumn="0" w:noHBand="0" w:noVBand="1"/>
      </w:tblPr>
      <w:tblGrid>
        <w:gridCol w:w="3401"/>
        <w:gridCol w:w="5457"/>
      </w:tblGrid>
      <w:tr w:rsidR="00D24A4B" w14:paraId="531BE172" w14:textId="77777777" w:rsidTr="00C66137">
        <w:trPr>
          <w:tblHeader/>
        </w:trPr>
        <w:tc>
          <w:tcPr>
            <w:tcW w:w="3401" w:type="dxa"/>
            <w:shd w:val="clear" w:color="auto" w:fill="00B388"/>
          </w:tcPr>
          <w:p w14:paraId="3C38F005" w14:textId="77777777" w:rsidR="00D24A4B" w:rsidRDefault="00D24A4B" w:rsidP="00C66137">
            <w:pPr>
              <w:pStyle w:val="TableHeading10"/>
            </w:pPr>
            <w:r>
              <w:t>Critical Incidents (Severity 1 or 2)</w:t>
            </w:r>
          </w:p>
        </w:tc>
        <w:tc>
          <w:tcPr>
            <w:tcW w:w="5457" w:type="dxa"/>
            <w:shd w:val="clear" w:color="auto" w:fill="00B388"/>
          </w:tcPr>
          <w:p w14:paraId="6F5CB86B" w14:textId="77777777" w:rsidR="00D24A4B" w:rsidRDefault="00D24A4B" w:rsidP="00C66137">
            <w:pPr>
              <w:pStyle w:val="TableHeading10"/>
            </w:pPr>
            <w:r>
              <w:t>Severity 3 and 4 Hardware or Related Software Incidents</w:t>
            </w:r>
          </w:p>
        </w:tc>
      </w:tr>
      <w:tr w:rsidR="00D24A4B" w14:paraId="714AD447" w14:textId="77777777" w:rsidTr="00C66137">
        <w:tc>
          <w:tcPr>
            <w:tcW w:w="3401" w:type="dxa"/>
          </w:tcPr>
          <w:p w14:paraId="6FA4C6ED" w14:textId="77777777" w:rsidR="00D24A4B" w:rsidRDefault="00D24A4B" w:rsidP="00C66137">
            <w:pPr>
              <w:pStyle w:val="TableText10Single"/>
            </w:pPr>
            <w:r w:rsidRPr="00FC2EBC">
              <w:t>HPE will assign a Critical Event Manager (CEM). The CEM will coordinate incident escalation and will enlist other HPE specialists if the situation requires additional resources and skills</w:t>
            </w:r>
          </w:p>
        </w:tc>
        <w:tc>
          <w:tcPr>
            <w:tcW w:w="5457" w:type="dxa"/>
          </w:tcPr>
          <w:p w14:paraId="1F705D3F" w14:textId="77777777" w:rsidR="00D24A4B" w:rsidRDefault="00D24A4B" w:rsidP="00C66137">
            <w:pPr>
              <w:pStyle w:val="TableText10Single"/>
            </w:pPr>
            <w:r>
              <w:t xml:space="preserve">Customer will report to HPE using one of three methods, which are available 24 hours per day, 7 days per week. </w:t>
            </w:r>
          </w:p>
          <w:p w14:paraId="34B60A23" w14:textId="77777777" w:rsidR="00D24A4B" w:rsidRDefault="00D24A4B" w:rsidP="00D24A4B">
            <w:pPr>
              <w:pStyle w:val="TableText10Bullet1Double"/>
              <w:spacing w:line="240" w:lineRule="auto"/>
            </w:pPr>
            <w:r>
              <w:t xml:space="preserve">Dedicated HPE phone number </w:t>
            </w:r>
          </w:p>
          <w:p w14:paraId="46AFA8CC" w14:textId="77777777" w:rsidR="00D24A4B" w:rsidRDefault="00D24A4B" w:rsidP="00D24A4B">
            <w:pPr>
              <w:pStyle w:val="TableText10Bullet1Double"/>
              <w:spacing w:line="240" w:lineRule="auto"/>
            </w:pPr>
            <w:r>
              <w:t>HPE Electronic Remote Support, as a web-based submittal tool via the HPE Support Center</w:t>
            </w:r>
          </w:p>
          <w:p w14:paraId="5BEB69E8" w14:textId="77777777" w:rsidR="00D24A4B" w:rsidRDefault="00D24A4B" w:rsidP="00D24A4B">
            <w:pPr>
              <w:pStyle w:val="TableText10Bullet1Double"/>
              <w:spacing w:line="240" w:lineRule="auto"/>
            </w:pPr>
            <w:r>
              <w:t>HPE Electronic Remote Support, as an automated equipment reporting event</w:t>
            </w:r>
          </w:p>
        </w:tc>
      </w:tr>
      <w:tr w:rsidR="00D24A4B" w14:paraId="2EE6E183" w14:textId="77777777" w:rsidTr="00C66137">
        <w:tc>
          <w:tcPr>
            <w:tcW w:w="3401" w:type="dxa"/>
          </w:tcPr>
          <w:p w14:paraId="5EBE9051" w14:textId="77777777" w:rsidR="00D24A4B" w:rsidRDefault="00D24A4B" w:rsidP="00C66137">
            <w:pPr>
              <w:pStyle w:val="TableText10Single"/>
            </w:pPr>
          </w:p>
        </w:tc>
        <w:tc>
          <w:tcPr>
            <w:tcW w:w="5457" w:type="dxa"/>
          </w:tcPr>
          <w:p w14:paraId="4FB35C40" w14:textId="77777777" w:rsidR="00D24A4B" w:rsidRDefault="00D24A4B" w:rsidP="00C66137">
            <w:pPr>
              <w:pStyle w:val="TableText10Single"/>
            </w:pPr>
            <w:r w:rsidRPr="00FC2EBC">
              <w:t>HPE will acknowledge the receipt of the service request by logging the call, assigning a case ID, and communicating the case ID to Purchasing Entity. HPE will work during the hardware or software coverage window to isolate the problem and to remotely troubleshoot, remedy, and resolve the problem with Purchasing Entity.</w:t>
            </w:r>
          </w:p>
        </w:tc>
      </w:tr>
    </w:tbl>
    <w:p w14:paraId="6A662565" w14:textId="77777777" w:rsidR="00D24A4B" w:rsidRDefault="00D24A4B" w:rsidP="00D24A4B">
      <w:pPr>
        <w:pStyle w:val="BodySingle"/>
      </w:pPr>
    </w:p>
    <w:p w14:paraId="6BB5867B" w14:textId="77777777" w:rsidR="00D24A4B" w:rsidRDefault="00D24A4B" w:rsidP="00D24A4B">
      <w:pPr>
        <w:pStyle w:val="Subheading"/>
      </w:pPr>
      <w:r>
        <w:t>Service Level Agreement</w:t>
      </w:r>
    </w:p>
    <w:p w14:paraId="2DF50104" w14:textId="77777777" w:rsidR="00D24A4B" w:rsidRDefault="00D24A4B" w:rsidP="00D24A4B">
      <w:pPr>
        <w:pStyle w:val="BodyText"/>
      </w:pPr>
      <w:r>
        <w:t xml:space="preserve">HPE’s Foundation Care Service Level Agreement (SLA) plan includes access to an HPE phone number, 24 hours per day, 7 days per week. </w:t>
      </w:r>
    </w:p>
    <w:p w14:paraId="2B34B253" w14:textId="77777777" w:rsidR="00D24A4B" w:rsidRDefault="00D24A4B" w:rsidP="00D24A4B">
      <w:pPr>
        <w:pStyle w:val="BodyText"/>
      </w:pPr>
      <w:r>
        <w:t>The HPE ProLiant for Microsoft Azure Stack solution offers the architectural flexibility to optimize cost and meet SLAs by delivering IaaS capability to run virtualized and cloud-native apps at cloud scale using a single management model. Applications can be developed, deployed and ported between Azure Stack private cloud and Azure public cloud to meet changing business needs.</w:t>
      </w:r>
    </w:p>
    <w:p w14:paraId="1FA9D2A7" w14:textId="77777777" w:rsidR="00D24A4B" w:rsidRDefault="00D24A4B" w:rsidP="00D24A4B">
      <w:pPr>
        <w:pStyle w:val="FigureCaptionAuto"/>
      </w:pPr>
      <w:r>
        <w:lastRenderedPageBreak/>
        <w:t>HPE Integrated System Support</w:t>
      </w:r>
    </w:p>
    <w:p w14:paraId="5103027F" w14:textId="77777777" w:rsidR="00D24A4B" w:rsidRDefault="00D24A4B" w:rsidP="00D24A4B">
      <w:pPr>
        <w:pStyle w:val="BodyText"/>
      </w:pPr>
      <w:r w:rsidRPr="000C7314">
        <w:rPr>
          <w:noProof/>
          <w:lang w:val="en-GB" w:eastAsia="en-GB"/>
        </w:rPr>
        <w:drawing>
          <wp:inline distT="0" distB="0" distL="0" distR="0" wp14:anchorId="0DBEFA99" wp14:editId="72A0833D">
            <wp:extent cx="5624830" cy="2889435"/>
            <wp:effectExtent l="0" t="0" r="0" b="6350"/>
            <wp:docPr id="27" name="Picture 27" descr="C:\Users\reevescy\AppData\Local\Microsoft\Windows\INetCache\Content.Outlook\GE9MVSTF\SLA graphic for NASP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eevescy\AppData\Local\Microsoft\Windows\INetCache\Content.Outlook\GE9MVSTF\SLA graphic for NASPO.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24830" cy="2889435"/>
                    </a:xfrm>
                    <a:prstGeom prst="rect">
                      <a:avLst/>
                    </a:prstGeom>
                    <a:noFill/>
                    <a:ln>
                      <a:noFill/>
                    </a:ln>
                  </pic:spPr>
                </pic:pic>
              </a:graphicData>
            </a:graphic>
          </wp:inline>
        </w:drawing>
      </w:r>
    </w:p>
    <w:p w14:paraId="7B8393F5" w14:textId="77777777" w:rsidR="00D24A4B" w:rsidRDefault="00D24A4B" w:rsidP="00D24A4B">
      <w:pPr>
        <w:pStyle w:val="Bullet1Double0"/>
        <w:shd w:val="clear" w:color="auto" w:fill="DBDCDD"/>
        <w:ind w:left="720" w:hanging="720"/>
      </w:pPr>
      <w:r>
        <w:t xml:space="preserve">8.4.2 </w:t>
      </w:r>
      <w:r>
        <w:tab/>
        <w:t>Offeror must describe its ability to comply with the following customer service requirements:</w:t>
      </w:r>
    </w:p>
    <w:p w14:paraId="01D00556" w14:textId="77777777" w:rsidR="00D24A4B" w:rsidRDefault="00D24A4B" w:rsidP="00D24A4B">
      <w:pPr>
        <w:pStyle w:val="Bullet2Double0"/>
        <w:shd w:val="clear" w:color="auto" w:fill="DBDCDD"/>
      </w:pPr>
      <w:r>
        <w:t>a.</w:t>
      </w:r>
      <w:r>
        <w:tab/>
        <w:t>You must have one lead representative for each entity that executes a Participating Addendum. Contact information shall be kept current.</w:t>
      </w:r>
    </w:p>
    <w:p w14:paraId="246953F0" w14:textId="77777777" w:rsidR="00D24A4B" w:rsidRDefault="00D24A4B" w:rsidP="00D24A4B">
      <w:pPr>
        <w:pStyle w:val="Response"/>
      </w:pPr>
      <w:r>
        <w:t>Response:</w:t>
      </w:r>
    </w:p>
    <w:p w14:paraId="77C5F1A8" w14:textId="77777777" w:rsidR="00D24A4B" w:rsidRPr="000328AE" w:rsidRDefault="00D24A4B" w:rsidP="00D24A4B">
      <w:pPr>
        <w:pStyle w:val="BodyText"/>
      </w:pPr>
      <w:r w:rsidRPr="000328AE">
        <w:t>HPE will assign a designated Account Executive for each Purchasing Entity acquiring services through this contract vehicle. Many Purchasing Entities already have an assigned Account Executive.  That individual will be the single point of contact for maintaining HPE’s overall relationship with the Purchasing Entity, focusing on making sure that the HPE Team is meeting and delivering to expectations. This individual is empowered to make commitments for HPE regarding each project. The Account Executive will escalate and resolve issues and has the authority to eliminate roadblocks. HPE will keep the contact information current.</w:t>
      </w:r>
    </w:p>
    <w:p w14:paraId="7FD4B835" w14:textId="77777777" w:rsidR="00D24A4B" w:rsidRDefault="00D24A4B" w:rsidP="00D24A4B">
      <w:pPr>
        <w:pStyle w:val="BodyText"/>
      </w:pPr>
      <w:r w:rsidRPr="000328AE">
        <w:t>In addition to each designated Account Executive, HPE provides a full team of staff ready to assist.</w:t>
      </w:r>
      <w:r>
        <w:t xml:space="preserve"> Lauren Aloway, as the Primary Account Representative for HPE, will be responsible for maintaining performance of the Master Agreement and providing the ultimate excellence in ensuring customer satisfaction for you and each participating state and your clients. The State and Local Government and Education Master Agreement Manager is the post-award management lead for implementation of the contract vehicle and is the primary HPE interface with the assigned Contract Procurement Officer(s).</w:t>
      </w:r>
    </w:p>
    <w:p w14:paraId="1EABC4F6" w14:textId="77777777" w:rsidR="00D24A4B" w:rsidRDefault="00D24A4B" w:rsidP="00D24A4B">
      <w:pPr>
        <w:pStyle w:val="BodyText"/>
      </w:pPr>
      <w:r>
        <w:t>The Master Agreement Manager manages the contract to ensure compliance with terms and conditions and acts as the escalation point of contact.</w:t>
      </w:r>
    </w:p>
    <w:p w14:paraId="3EAFE703" w14:textId="77777777" w:rsidR="00D24A4B" w:rsidRDefault="00D24A4B" w:rsidP="00D24A4B">
      <w:pPr>
        <w:pStyle w:val="Bullet1Double"/>
        <w:numPr>
          <w:ilvl w:val="0"/>
          <w:numId w:val="9"/>
        </w:numPr>
        <w:tabs>
          <w:tab w:val="clear" w:pos="0"/>
        </w:tabs>
        <w:ind w:left="360" w:hanging="360"/>
      </w:pPr>
      <w:r>
        <w:t>Responsible for overall management of HPE NASPO ValuePoint program management</w:t>
      </w:r>
    </w:p>
    <w:p w14:paraId="7D3E292A" w14:textId="77777777" w:rsidR="00D24A4B" w:rsidRDefault="00D24A4B" w:rsidP="00D24A4B">
      <w:pPr>
        <w:pStyle w:val="Bullet1Double"/>
        <w:numPr>
          <w:ilvl w:val="0"/>
          <w:numId w:val="9"/>
        </w:numPr>
        <w:tabs>
          <w:tab w:val="clear" w:pos="0"/>
        </w:tabs>
        <w:ind w:left="360" w:hanging="360"/>
      </w:pPr>
      <w:r>
        <w:t>Supervise operational processes/procedures to ensure contract compliance</w:t>
      </w:r>
    </w:p>
    <w:p w14:paraId="54BE309C" w14:textId="77777777" w:rsidR="00D24A4B" w:rsidRDefault="00D24A4B" w:rsidP="00D24A4B">
      <w:pPr>
        <w:pStyle w:val="Bullet1Double"/>
        <w:numPr>
          <w:ilvl w:val="0"/>
          <w:numId w:val="9"/>
        </w:numPr>
        <w:tabs>
          <w:tab w:val="clear" w:pos="0"/>
        </w:tabs>
        <w:ind w:left="360" w:hanging="360"/>
      </w:pPr>
      <w:r>
        <w:t>Provide functional support to customers, sales, partners and legal for contract and pricing related information</w:t>
      </w:r>
    </w:p>
    <w:p w14:paraId="1F5BB05C" w14:textId="77777777" w:rsidR="00D24A4B" w:rsidRDefault="00D24A4B" w:rsidP="00D24A4B">
      <w:pPr>
        <w:pStyle w:val="Bullet1Double"/>
        <w:numPr>
          <w:ilvl w:val="0"/>
          <w:numId w:val="9"/>
        </w:numPr>
        <w:tabs>
          <w:tab w:val="clear" w:pos="0"/>
        </w:tabs>
        <w:ind w:left="360" w:hanging="360"/>
      </w:pPr>
      <w:r>
        <w:t>Manage contract development and execution with all NASPO ValuePoint states</w:t>
      </w:r>
    </w:p>
    <w:p w14:paraId="1B896B2D" w14:textId="77777777" w:rsidR="00D24A4B" w:rsidRDefault="00D24A4B" w:rsidP="00D24A4B">
      <w:pPr>
        <w:pStyle w:val="Bullet2Double0"/>
        <w:shd w:val="clear" w:color="auto" w:fill="DBDCDD"/>
      </w:pPr>
      <w:r>
        <w:lastRenderedPageBreak/>
        <w:t>b.</w:t>
      </w:r>
      <w:r>
        <w:tab/>
        <w:t>Customer Service Representative(s) must be available by phone or email at a minimum, from 7AM to 6PM on Monday through Sunday for the applicable time zones.</w:t>
      </w:r>
    </w:p>
    <w:p w14:paraId="01E16835" w14:textId="77777777" w:rsidR="00D24A4B" w:rsidRDefault="00D24A4B" w:rsidP="00D24A4B">
      <w:pPr>
        <w:pStyle w:val="Response"/>
      </w:pPr>
      <w:r>
        <w:t>Response:</w:t>
      </w:r>
    </w:p>
    <w:p w14:paraId="3F6757FA" w14:textId="77777777" w:rsidR="00D24A4B" w:rsidRDefault="00D24A4B" w:rsidP="00D24A4B">
      <w:pPr>
        <w:pStyle w:val="BodyText"/>
      </w:pPr>
      <w:r w:rsidRPr="005E61F5">
        <w:t>HPE operates an Operations Center to respond to inquiries, Service Requests, and Incidents submitted by Purchasing Entity through their Authorized Representatives and Technical Representatives. The Operations Center is open 365 days a year, 24</w:t>
      </w:r>
      <w:r>
        <w:t xml:space="preserve"> </w:t>
      </w:r>
      <w:r w:rsidRPr="005E61F5">
        <w:t>hours a day, 7 days a week. It will accept inquiries, requests, and Incident reports from Purchasing Entity representatives by telephone or e-mail. Additionally, HPE will (through advance notices to Purchasing Entity, postings at the Managed Services Portal, and answers to inquiries) provide information concerning operational changes (i.e., changes in Maintenance Windows).</w:t>
      </w:r>
    </w:p>
    <w:p w14:paraId="7AA6D76E" w14:textId="77777777" w:rsidR="00D24A4B" w:rsidRPr="00274DB2" w:rsidRDefault="00D24A4B" w:rsidP="00D24A4B">
      <w:pPr>
        <w:pStyle w:val="Bullet1Double"/>
        <w:numPr>
          <w:ilvl w:val="0"/>
          <w:numId w:val="0"/>
        </w:numPr>
        <w:ind w:left="360" w:hanging="360"/>
      </w:pPr>
      <w:r>
        <w:rPr>
          <w:noProof/>
          <w:lang w:val="en-GB" w:eastAsia="en-GB"/>
        </w:rPr>
        <w:drawing>
          <wp:inline distT="0" distB="0" distL="0" distR="0" wp14:anchorId="12D7BC31" wp14:editId="795B4F2E">
            <wp:extent cx="5624830" cy="2418715"/>
            <wp:effectExtent l="0" t="0" r="0" b="63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230B083.tmp"/>
                    <pic:cNvPicPr/>
                  </pic:nvPicPr>
                  <pic:blipFill>
                    <a:blip r:embed="rId32">
                      <a:extLst>
                        <a:ext uri="{28A0092B-C50C-407E-A947-70E740481C1C}">
                          <a14:useLocalDpi xmlns:a14="http://schemas.microsoft.com/office/drawing/2010/main" val="0"/>
                        </a:ext>
                      </a:extLst>
                    </a:blip>
                    <a:stretch>
                      <a:fillRect/>
                    </a:stretch>
                  </pic:blipFill>
                  <pic:spPr>
                    <a:xfrm>
                      <a:off x="0" y="0"/>
                      <a:ext cx="5624830" cy="2418715"/>
                    </a:xfrm>
                    <a:prstGeom prst="rect">
                      <a:avLst/>
                    </a:prstGeom>
                  </pic:spPr>
                </pic:pic>
              </a:graphicData>
            </a:graphic>
          </wp:inline>
        </w:drawing>
      </w:r>
    </w:p>
    <w:p w14:paraId="6DA37DFC" w14:textId="77777777" w:rsidR="00D24A4B" w:rsidRDefault="00D24A4B" w:rsidP="00D24A4B">
      <w:pPr>
        <w:pStyle w:val="Bullet2Double0"/>
        <w:shd w:val="clear" w:color="auto" w:fill="DBDCDD"/>
      </w:pPr>
      <w:r>
        <w:t>c.</w:t>
      </w:r>
      <w:r>
        <w:tab/>
        <w:t>Customer Service Representative will respond to inquiries within one business day.</w:t>
      </w:r>
    </w:p>
    <w:p w14:paraId="34252376" w14:textId="77777777" w:rsidR="00D24A4B" w:rsidRDefault="00D24A4B" w:rsidP="00D24A4B">
      <w:pPr>
        <w:pStyle w:val="Response"/>
      </w:pPr>
      <w:r>
        <w:t>Response:</w:t>
      </w:r>
    </w:p>
    <w:p w14:paraId="0FCE2389" w14:textId="77777777" w:rsidR="00D24A4B" w:rsidRPr="00274DB2" w:rsidRDefault="00D24A4B" w:rsidP="00D24A4B">
      <w:pPr>
        <w:pStyle w:val="BodyText"/>
      </w:pPr>
      <w:r>
        <w:t>The Operations Center conducts business in English and responds to inquiries within one business day.</w:t>
      </w:r>
    </w:p>
    <w:p w14:paraId="7236050D" w14:textId="77777777" w:rsidR="00D24A4B" w:rsidRDefault="00D24A4B" w:rsidP="00D24A4B">
      <w:pPr>
        <w:pStyle w:val="Bullet2Double0"/>
        <w:shd w:val="clear" w:color="auto" w:fill="DBDCDD"/>
      </w:pPr>
      <w:r>
        <w:t>d.</w:t>
      </w:r>
      <w:r>
        <w:tab/>
        <w:t>You must provide design services for the applicable categories.</w:t>
      </w:r>
      <w:r>
        <w:tab/>
      </w:r>
    </w:p>
    <w:p w14:paraId="1D6CAC1A" w14:textId="77777777" w:rsidR="00D24A4B" w:rsidRDefault="00D24A4B" w:rsidP="00D24A4B">
      <w:pPr>
        <w:pStyle w:val="Response"/>
      </w:pPr>
      <w:r>
        <w:t>Response:</w:t>
      </w:r>
    </w:p>
    <w:p w14:paraId="6D1315F8" w14:textId="77777777" w:rsidR="00D24A4B" w:rsidRDefault="00D24A4B" w:rsidP="00D24A4B">
      <w:pPr>
        <w:pStyle w:val="BodyText"/>
      </w:pPr>
      <w:r w:rsidRPr="0076418B">
        <w:t>HPE will provid</w:t>
      </w:r>
      <w:r>
        <w:t>e design services for any GreenL</w:t>
      </w:r>
      <w:r w:rsidRPr="0076418B">
        <w:t>ake opportunity or expansion of the Azure Stack acquired under this contract. Operational and technical advice is included as part of the service. If additional detailed design service is required, the participating entity can acquire additional consulting services from HPE’s knowledgeable representatives as a value added offering.</w:t>
      </w:r>
    </w:p>
    <w:p w14:paraId="103EB199" w14:textId="77777777" w:rsidR="00D24A4B" w:rsidRDefault="00D24A4B" w:rsidP="00D24A4B">
      <w:pPr>
        <w:pStyle w:val="Bullet2Double0"/>
        <w:shd w:val="clear" w:color="auto" w:fill="DBDCDD"/>
      </w:pPr>
      <w:r>
        <w:t>e.</w:t>
      </w:r>
      <w:r>
        <w:tab/>
        <w:t>You must provide Installation Services for the applicable categories.</w:t>
      </w:r>
    </w:p>
    <w:p w14:paraId="503000A4" w14:textId="77777777" w:rsidR="00D24A4B" w:rsidRDefault="00D24A4B" w:rsidP="00D24A4B">
      <w:pPr>
        <w:pStyle w:val="Response"/>
      </w:pPr>
      <w:r>
        <w:t>Response:</w:t>
      </w:r>
    </w:p>
    <w:p w14:paraId="5C95670C" w14:textId="77777777" w:rsidR="00D24A4B" w:rsidRPr="00371EA9" w:rsidRDefault="00D24A4B" w:rsidP="00D24A4B">
      <w:pPr>
        <w:pStyle w:val="BodyText"/>
      </w:pPr>
      <w:r w:rsidRPr="0076418B">
        <w:t>HPE will provide installation services as required for any service acquired under this contract.</w:t>
      </w:r>
    </w:p>
    <w:p w14:paraId="6A9F1E89" w14:textId="77777777" w:rsidR="00D24A4B" w:rsidRDefault="00D24A4B" w:rsidP="00D24A4B">
      <w:pPr>
        <w:pStyle w:val="Heading30"/>
      </w:pPr>
      <w:bookmarkStart w:id="29" w:name="_Toc514418392"/>
      <w:bookmarkStart w:id="30" w:name="_Toc518548592"/>
      <w:r>
        <w:t>8.5</w:t>
      </w:r>
      <w:r>
        <w:tab/>
        <w:t>(E) Security of Information</w:t>
      </w:r>
      <w:bookmarkEnd w:id="29"/>
      <w:bookmarkEnd w:id="30"/>
    </w:p>
    <w:p w14:paraId="75634C2D" w14:textId="77777777" w:rsidR="00D24A4B" w:rsidRPr="00420CA0" w:rsidRDefault="00D24A4B" w:rsidP="00D24A4B">
      <w:pPr>
        <w:keepNext/>
        <w:shd w:val="clear" w:color="auto" w:fill="E2EFD9" w:themeFill="accent6" w:themeFillTint="33"/>
        <w:spacing w:after="120" w:line="240" w:lineRule="auto"/>
        <w:rPr>
          <w:rFonts w:ascii="Arial" w:eastAsia="PMingLiU" w:hAnsi="Arial" w:cs="Times New Roman"/>
          <w:szCs w:val="20"/>
        </w:rPr>
      </w:pPr>
      <w:r w:rsidRPr="00F446FB">
        <w:rPr>
          <w:rFonts w:ascii="Arial" w:eastAsia="PMingLiU" w:hAnsi="Arial" w:cs="Times New Roman"/>
          <w:szCs w:val="20"/>
        </w:rPr>
        <w:t xml:space="preserve">HPE </w:t>
      </w:r>
      <w:r>
        <w:rPr>
          <w:rFonts w:ascii="Arial" w:eastAsia="PMingLiU" w:hAnsi="Arial" w:cs="Times New Roman"/>
          <w:szCs w:val="20"/>
        </w:rPr>
        <w:t>hybrid cloud</w:t>
      </w:r>
      <w:r w:rsidRPr="00F446FB">
        <w:rPr>
          <w:rFonts w:ascii="Arial" w:eastAsia="PMingLiU" w:hAnsi="Arial" w:cs="Times New Roman"/>
          <w:szCs w:val="20"/>
        </w:rPr>
        <w:t xml:space="preserve"> solution is a fully integrated system that delivers Azure compatible, software defined Infrastructure-as-a-Service (IaaS), Platform-as-a-Service (PaaS) on HPE </w:t>
      </w:r>
      <w:r w:rsidRPr="00F446FB">
        <w:rPr>
          <w:rFonts w:ascii="Arial" w:eastAsia="PMingLiU" w:hAnsi="Arial" w:cs="Times New Roman"/>
          <w:szCs w:val="20"/>
        </w:rPr>
        <w:lastRenderedPageBreak/>
        <w:t>hardware and Software-as-a-Service (SaaS) on Microsoft’ Azure public cloud</w:t>
      </w:r>
      <w:r>
        <w:rPr>
          <w:rFonts w:ascii="Arial" w:eastAsia="PMingLiU" w:hAnsi="Arial" w:cs="Times New Roman"/>
          <w:szCs w:val="20"/>
        </w:rPr>
        <w:t>. This</w:t>
      </w:r>
      <w:r w:rsidRPr="00F446FB">
        <w:rPr>
          <w:rFonts w:ascii="Arial" w:eastAsia="PMingLiU" w:hAnsi="Arial" w:cs="Times New Roman"/>
          <w:szCs w:val="20"/>
        </w:rPr>
        <w:t xml:space="preserve"> is a superior offering for Purchasing Entity</w:t>
      </w:r>
      <w:r>
        <w:rPr>
          <w:rFonts w:ascii="Arial" w:eastAsia="PMingLiU" w:hAnsi="Arial" w:cs="Times New Roman"/>
          <w:szCs w:val="20"/>
        </w:rPr>
        <w:t>, as HPE provides:</w:t>
      </w:r>
    </w:p>
    <w:p w14:paraId="7D6E5574" w14:textId="77777777" w:rsidR="00D24A4B"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8E6D1F">
        <w:rPr>
          <w:rFonts w:ascii="Arial" w:eastAsia="PMingLiU" w:hAnsi="Arial" w:cs="Times New Roman"/>
          <w:szCs w:val="20"/>
        </w:rPr>
        <w:t>Silicon Root of Trust</w:t>
      </w:r>
      <w:r>
        <w:rPr>
          <w:rFonts w:ascii="Arial" w:eastAsia="PMingLiU" w:hAnsi="Arial" w:cs="Times New Roman"/>
          <w:szCs w:val="20"/>
        </w:rPr>
        <w:t>; server have</w:t>
      </w:r>
      <w:r w:rsidRPr="008E6D1F">
        <w:rPr>
          <w:rFonts w:ascii="Arial" w:eastAsia="PMingLiU" w:hAnsi="Arial" w:cs="Times New Roman"/>
          <w:szCs w:val="20"/>
        </w:rPr>
        <w:t xml:space="preserve"> a unique individual fingerprint in the HPE custom silicon</w:t>
      </w:r>
    </w:p>
    <w:p w14:paraId="0CD12DC4" w14:textId="77777777" w:rsidR="00D24A4B"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8E6D1F">
        <w:rPr>
          <w:rFonts w:ascii="Arial" w:eastAsia="PMingLiU" w:hAnsi="Arial" w:cs="Times New Roman"/>
          <w:szCs w:val="20"/>
        </w:rPr>
        <w:t xml:space="preserve">Runtime Firmware Verification </w:t>
      </w:r>
    </w:p>
    <w:p w14:paraId="4FD57DF6" w14:textId="77777777" w:rsidR="00D24A4B" w:rsidRPr="00E6414A"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8E6D1F">
        <w:rPr>
          <w:rFonts w:ascii="Arial" w:eastAsia="PMingLiU" w:hAnsi="Arial" w:cs="Times New Roman"/>
          <w:szCs w:val="20"/>
        </w:rPr>
        <w:t>Common Access Card/smart card support full control of all user interfaces</w:t>
      </w:r>
    </w:p>
    <w:p w14:paraId="4C4E2454" w14:textId="77777777" w:rsidR="00D24A4B" w:rsidRDefault="00D24A4B" w:rsidP="00D24A4B">
      <w:pPr>
        <w:pStyle w:val="Bullet1Double0"/>
        <w:shd w:val="clear" w:color="auto" w:fill="DBDCDD"/>
        <w:ind w:left="720" w:hanging="720"/>
      </w:pPr>
      <w:r>
        <w:t>8.5.1</w:t>
      </w:r>
      <w:r>
        <w:tab/>
        <w:t xml:space="preserve">Offeror must describe the measures it takes to protect data. Include a description of the method by which you will hold, protect, and dispose of data following completion of any contract services. </w:t>
      </w:r>
    </w:p>
    <w:p w14:paraId="6CD47BCF" w14:textId="77777777" w:rsidR="00D24A4B" w:rsidRDefault="00D24A4B" w:rsidP="00D24A4B">
      <w:pPr>
        <w:pStyle w:val="Response"/>
      </w:pPr>
      <w:r>
        <w:t>Response:</w:t>
      </w:r>
    </w:p>
    <w:p w14:paraId="2E9EB77A" w14:textId="77777777" w:rsidR="00D24A4B" w:rsidRDefault="00D24A4B" w:rsidP="00D24A4B">
      <w:pPr>
        <w:pStyle w:val="BodyText"/>
      </w:pPr>
      <w:r w:rsidRPr="00446D4B">
        <w:t xml:space="preserve">Purchasing Entity is </w:t>
      </w:r>
      <w:r>
        <w:t xml:space="preserve">in control of holding, protecting and disposing of data. Purchasing Entity is </w:t>
      </w:r>
      <w:r w:rsidRPr="00446D4B">
        <w:t>responsible for properly sanitizing or removing data from products that may be replaced and returned to HPE as part of the repair process to ensure the safeguarding of Purchasing Entity’s data</w:t>
      </w:r>
      <w:r>
        <w:t xml:space="preserve">. </w:t>
      </w:r>
      <w:r w:rsidRPr="00446D4B">
        <w:t>HPE is able to perform the removal of data from the disks at an optional cost, or arrange to have Purchasing Entity pay any additional charges for retention.</w:t>
      </w:r>
    </w:p>
    <w:p w14:paraId="19F17FCA" w14:textId="77777777" w:rsidR="00D24A4B" w:rsidRDefault="00D24A4B" w:rsidP="00D24A4B">
      <w:pPr>
        <w:pStyle w:val="BodyText"/>
      </w:pPr>
      <w:r>
        <w:t>HPE does provide Defective Media Retention (DMR) service for our customers. The Purchasing Entity</w:t>
      </w:r>
      <w:r w:rsidRPr="0089436E">
        <w:t xml:space="preserve"> will retain all defective hard disk or eligible SSD/</w:t>
      </w:r>
      <w:r>
        <w:t xml:space="preserve">Flash drive components that the Purchasing Entity </w:t>
      </w:r>
      <w:r w:rsidRPr="0089436E">
        <w:t>does not want to relinquish due to sensitive data contained within the disk</w:t>
      </w:r>
      <w:r>
        <w:t xml:space="preserve"> covered with this service. The Purchasing Entity</w:t>
      </w:r>
      <w:r w:rsidRPr="0089436E">
        <w:t xml:space="preserve"> will be responsible for the protection and privacy of the data residing on the defective disk or SSD/Flash drive. All disk or SSD/Flash drives on a covered system must participate in the Defective Media Retention service. HPE waives the right to take possession and title of a defected disk or SSD/Flash drive covered by the Defective Media Retention service in the event a replacement pr</w:t>
      </w:r>
      <w:r>
        <w:t>oduct is delivered by HPE to the Purchasing Entity</w:t>
      </w:r>
      <w:r w:rsidRPr="0089436E">
        <w:t xml:space="preserve">. </w:t>
      </w:r>
      <w:r>
        <w:t xml:space="preserve">DMR devices remain the property of the Purchasing Entity and it is the responsibility of the Purchasing Entity to secure failed units and sanitize or destroy based on their preference. </w:t>
      </w:r>
    </w:p>
    <w:p w14:paraId="60C03243" w14:textId="77777777" w:rsidR="00D24A4B" w:rsidRPr="00371EA9" w:rsidRDefault="00D24A4B" w:rsidP="00D24A4B">
      <w:pPr>
        <w:pStyle w:val="BodyText"/>
      </w:pPr>
      <w:r w:rsidRPr="00D11795">
        <w:t>Replacement parts provided under hardware support may be whole unit replacements or be new or functionally equivalent to new in performance and reliability and warranted as new. Replaced parts become the property of HPE, unless HPE agrees otherwise and Purchasing Entity pays any applicable charges. Purchasing Entity is responsible for the security of Purchasing Entity’s proprietary and confidential information.</w:t>
      </w:r>
    </w:p>
    <w:p w14:paraId="485511ED" w14:textId="77777777" w:rsidR="00D24A4B" w:rsidRDefault="00D24A4B" w:rsidP="00D24A4B">
      <w:pPr>
        <w:pStyle w:val="Bullet1Double0"/>
        <w:shd w:val="clear" w:color="auto" w:fill="DBDCDD"/>
        <w:ind w:left="720" w:hanging="720"/>
      </w:pPr>
      <w:r>
        <w:t>8.5.2</w:t>
      </w:r>
      <w:r>
        <w:tab/>
        <w:t>Offeror must describe how it intends to comply with all applicable laws and related to data privacy and security.</w:t>
      </w:r>
    </w:p>
    <w:p w14:paraId="029D85EC" w14:textId="77777777" w:rsidR="00D24A4B" w:rsidRDefault="00D24A4B" w:rsidP="00D24A4B">
      <w:pPr>
        <w:pStyle w:val="Response"/>
      </w:pPr>
      <w:r>
        <w:t>Response:</w:t>
      </w:r>
    </w:p>
    <w:p w14:paraId="70275386" w14:textId="77777777" w:rsidR="00D24A4B" w:rsidRDefault="00D24A4B" w:rsidP="00D24A4B">
      <w:pPr>
        <w:pStyle w:val="BodyText"/>
      </w:pPr>
      <w:r>
        <w:t xml:space="preserve">Privacy and security are key elements in HPE’s shared values and are high priorities in our goal to be known for our ethical leadership. They are included in the HPE Standards of Excellence trainings that are required for all HPE employees. In addition, privacy is one of the core elements of the HPE Standards of Business Conduct and Global Citizenship program. This is embodied in the HPE Global Master Privacy Policy. The HPE Global Master Privacy Policy addresses the security, access, and accuracy of data and prohibits the sharing of customer or outsourcing-client information without permission. We make it a priority to understand the privacy and security requirements of our customers and to establish processes that deliver our products and services in ways that help meet their compliance needs. </w:t>
      </w:r>
    </w:p>
    <w:p w14:paraId="2FBC1CA4" w14:textId="77777777" w:rsidR="00D24A4B" w:rsidRDefault="00D24A4B" w:rsidP="00D24A4B">
      <w:pPr>
        <w:pStyle w:val="BodyText"/>
      </w:pPr>
      <w:r>
        <w:lastRenderedPageBreak/>
        <w:t xml:space="preserve">Privacy is a fundamental part of the HPE Global Citizenship program. As part of this program HPE has adopted a Global Master Privacy Policy that covers customers and potential customers in all market segments, as well as HPE employees. The HPE Global Master Privacy Policy addresses the security, access, and accuracy of data and, among other things, prohibits sharing of customer information with outside third parties without permission. The policy is based on guidelines established by the Organization for Economic Cooperation and Development (OECD), the Global Business Dialogue on electronic Commerce (GBDe), the U.S. Federal Trade Commission’s Fair Information Practices, Canadian Standards Association (CSA)'s Model Code for the Protection of Personal Information, the EU Data Protection Directive, the APEC Privacy Framework, the Madrid Resolution on International Privacy Standards, and applicable privacy laws around the world. </w:t>
      </w:r>
    </w:p>
    <w:p w14:paraId="5EA38BC7" w14:textId="77777777" w:rsidR="00D24A4B" w:rsidRDefault="00D24A4B" w:rsidP="00D24A4B">
      <w:pPr>
        <w:pStyle w:val="BodyText"/>
      </w:pPr>
      <w:r w:rsidRPr="00446D4B">
        <w:t xml:space="preserve">The HPE </w:t>
      </w:r>
      <w:r w:rsidRPr="0036108E">
        <w:t xml:space="preserve">GreenLake Flex Capacity Packages are </w:t>
      </w:r>
      <w:r w:rsidRPr="00446D4B">
        <w:t>installed at the Purchasing Entity site and becomes the Purchasing Entity client’s responsibility for security of data</w:t>
      </w:r>
      <w:r>
        <w:t xml:space="preserve">. </w:t>
      </w:r>
      <w:r w:rsidRPr="00446D4B">
        <w:t>All HPE service employees who will be onsite handling system repairs are trained on the proper handling of customer’s data</w:t>
      </w:r>
      <w:r>
        <w:t xml:space="preserve">. </w:t>
      </w:r>
    </w:p>
    <w:p w14:paraId="43364715" w14:textId="77777777" w:rsidR="00D24A4B" w:rsidRDefault="00D24A4B" w:rsidP="00D24A4B">
      <w:pPr>
        <w:pStyle w:val="BodyText"/>
      </w:pPr>
      <w:r>
        <w:t xml:space="preserve">HPE </w:t>
      </w:r>
      <w:r w:rsidRPr="00CE2B4F">
        <w:t>has privacy training for all employees</w:t>
      </w:r>
      <w:r>
        <w:t xml:space="preserve"> and t</w:t>
      </w:r>
      <w:r w:rsidRPr="00CE2B4F">
        <w:t xml:space="preserve">his training is required of all </w:t>
      </w:r>
      <w:r>
        <w:t>HPE</w:t>
      </w:r>
      <w:r w:rsidRPr="00CE2B4F">
        <w:t xml:space="preserve"> employees and includes yearly refresher modules</w:t>
      </w:r>
      <w:r>
        <w:t xml:space="preserve">. </w:t>
      </w:r>
    </w:p>
    <w:p w14:paraId="1451B8CA" w14:textId="77777777" w:rsidR="00D24A4B" w:rsidRDefault="00D24A4B" w:rsidP="00D24A4B">
      <w:pPr>
        <w:pStyle w:val="BodyText"/>
      </w:pPr>
      <w:r>
        <w:t>HPE includes its Data Processing and Security terms in Section 8, Supplementary Terms – Exhibit M, contained in this bid response for the State’s reference.</w:t>
      </w:r>
    </w:p>
    <w:p w14:paraId="1E2ACDCA" w14:textId="77777777" w:rsidR="00D24A4B" w:rsidRDefault="00D24A4B" w:rsidP="00D24A4B">
      <w:pPr>
        <w:pStyle w:val="Bullet1Double0"/>
        <w:shd w:val="clear" w:color="auto" w:fill="DBDCDD"/>
        <w:ind w:left="720" w:hanging="720"/>
      </w:pPr>
      <w:r>
        <w:t>8.5.3</w:t>
      </w:r>
      <w:r>
        <w:tab/>
        <w:t>Offeror must describe how it will not access a Purchasing Entity’s user accounts or data, except in the course of data center operations, response to service or technical issues, as required by the express terms of the Master Agreement, the applicable Participating Addendum, and/or the applicable Service Level Agreement.</w:t>
      </w:r>
    </w:p>
    <w:p w14:paraId="6B257EE5" w14:textId="77777777" w:rsidR="00D24A4B" w:rsidRDefault="00D24A4B" w:rsidP="00D24A4B">
      <w:pPr>
        <w:pStyle w:val="Response"/>
      </w:pPr>
      <w:r>
        <w:t>Response:</w:t>
      </w:r>
    </w:p>
    <w:p w14:paraId="18820018" w14:textId="77777777" w:rsidR="00D24A4B" w:rsidRDefault="00D24A4B" w:rsidP="00D24A4B">
      <w:pPr>
        <w:pStyle w:val="BodyText"/>
      </w:pPr>
      <w:r w:rsidRPr="00446D4B">
        <w:t xml:space="preserve">The </w:t>
      </w:r>
      <w:r w:rsidRPr="0036108E">
        <w:t xml:space="preserve">GreenLake Flex Capacity Packages are </w:t>
      </w:r>
      <w:r w:rsidRPr="00446D4B">
        <w:t>installed at the Purchasing Entity site and becomes the Purchasing Entity client’s responsibility for security of data</w:t>
      </w:r>
      <w:r>
        <w:t xml:space="preserve">. </w:t>
      </w:r>
      <w:r w:rsidRPr="00446D4B">
        <w:t>All HPE service employees who will be onsite handling system repairs are trained on the pro</w:t>
      </w:r>
      <w:r>
        <w:t>per handling of customer’s data and will not access a Purchasing Entity’s user accounts or data, except in the course of data center operations, response to service or technical issues, as required by the terms of the Master Agreement or the applicable SLA.</w:t>
      </w:r>
    </w:p>
    <w:p w14:paraId="4E4A5795" w14:textId="77777777" w:rsidR="00D24A4B" w:rsidRDefault="00D24A4B" w:rsidP="00D24A4B">
      <w:pPr>
        <w:pStyle w:val="Heading30"/>
      </w:pPr>
      <w:bookmarkStart w:id="31" w:name="_Toc514418393"/>
      <w:bookmarkStart w:id="32" w:name="_Toc518548593"/>
      <w:r>
        <w:t>8.6</w:t>
      </w:r>
      <w:r>
        <w:tab/>
        <w:t>(E) Privacy and Security</w:t>
      </w:r>
      <w:bookmarkEnd w:id="31"/>
      <w:bookmarkEnd w:id="32"/>
    </w:p>
    <w:p w14:paraId="150ED82E" w14:textId="77777777" w:rsidR="00D24A4B" w:rsidRDefault="00D24A4B" w:rsidP="00D24A4B">
      <w:pPr>
        <w:pStyle w:val="Response"/>
        <w:shd w:val="clear" w:color="auto" w:fill="E2EFD9" w:themeFill="accent6" w:themeFillTint="33"/>
        <w:rPr>
          <w:b w:val="0"/>
          <w:i w:val="0"/>
        </w:rPr>
      </w:pPr>
      <w:r w:rsidRPr="00F446FB">
        <w:rPr>
          <w:b w:val="0"/>
          <w:i w:val="0"/>
        </w:rPr>
        <w:t>HPE Hybrid Cloud solution is a fully integrated system that delivers Azure compatible, software defined Infrastructure-as-a-Service (IaaS), Platform-as-a-Service (PaaS) on HPE hardware and Software-as-a-Service (SaaS) on Microsoft’ Azure public cloud</w:t>
      </w:r>
      <w:r>
        <w:rPr>
          <w:b w:val="0"/>
          <w:i w:val="0"/>
        </w:rPr>
        <w:t>.  This</w:t>
      </w:r>
      <w:r w:rsidRPr="00F446FB">
        <w:rPr>
          <w:b w:val="0"/>
          <w:i w:val="0"/>
        </w:rPr>
        <w:t xml:space="preserve"> is a superior offering for Purchasing Entity</w:t>
      </w:r>
      <w:r>
        <w:rPr>
          <w:b w:val="0"/>
          <w:i w:val="0"/>
        </w:rPr>
        <w:t xml:space="preserve"> because</w:t>
      </w:r>
      <w:r w:rsidRPr="00C268BA">
        <w:rPr>
          <w:b w:val="0"/>
          <w:i w:val="0"/>
        </w:rPr>
        <w:t>:</w:t>
      </w:r>
    </w:p>
    <w:p w14:paraId="75882982" w14:textId="77777777" w:rsidR="00D24A4B" w:rsidRDefault="00D24A4B" w:rsidP="00486253">
      <w:pPr>
        <w:pStyle w:val="BodyText"/>
        <w:numPr>
          <w:ilvl w:val="0"/>
          <w:numId w:val="39"/>
        </w:numPr>
        <w:shd w:val="clear" w:color="auto" w:fill="E2EFD9" w:themeFill="accent6" w:themeFillTint="33"/>
      </w:pPr>
      <w:r w:rsidRPr="0036108E">
        <w:t xml:space="preserve">ProLiant for Microsoft Azure Stack </w:t>
      </w:r>
      <w:r>
        <w:t>package i</w:t>
      </w:r>
      <w:r w:rsidRPr="00C268BA">
        <w:t xml:space="preserve">s an extension of Microsoft Azure, Azure Stack brings the rapid innovation and agility of cloud computing to the on-premises data center. Azure Stack hybrid computing </w:t>
      </w:r>
      <w:r>
        <w:t>can</w:t>
      </w:r>
      <w:r w:rsidRPr="00C268BA">
        <w:t xml:space="preserve"> properly manage and secure participating entity workloads – critical line-of-business applications. Some of these workloads, known as regulated workloads, are applications that must comply with one or many cybersecurity regulations (PCI DSS, HIPAA, FedRAMP, ISO 29001, Sarbanes-Oxley, FISMA, CSA CCM 3.01., GDPR, etc.) and be either assessed or audited to confirm compliance.</w:t>
      </w:r>
      <w:r>
        <w:t xml:space="preserve"> </w:t>
      </w:r>
    </w:p>
    <w:p w14:paraId="03AD6767" w14:textId="77777777" w:rsidR="00D24A4B" w:rsidRPr="00E6414A" w:rsidRDefault="00D24A4B" w:rsidP="00486253">
      <w:pPr>
        <w:pStyle w:val="BodyText"/>
        <w:numPr>
          <w:ilvl w:val="0"/>
          <w:numId w:val="39"/>
        </w:numPr>
        <w:shd w:val="clear" w:color="auto" w:fill="E2EFD9" w:themeFill="accent6" w:themeFillTint="33"/>
      </w:pPr>
      <w:r>
        <w:t>HPE Smart Array SR Secure Encryption is a FIPS 140-2 Level 1 encryption</w:t>
      </w:r>
    </w:p>
    <w:p w14:paraId="2E64819B" w14:textId="77777777" w:rsidR="00D24A4B" w:rsidRDefault="00D24A4B" w:rsidP="00D24A4B">
      <w:pPr>
        <w:pStyle w:val="Bullet1Double0"/>
        <w:shd w:val="clear" w:color="auto" w:fill="DBDCDD"/>
        <w:ind w:left="720" w:hanging="720"/>
      </w:pPr>
      <w:r>
        <w:lastRenderedPageBreak/>
        <w:t>8.6.1</w:t>
      </w:r>
      <w:r>
        <w:tab/>
        <w:t xml:space="preserve">Offeror must describe its commitment for its Solutions to comply with NIST, as defined in NIST Special Publication 800-145, and any other relevant industry standards, as it relates to the Scope of Services described in Attachment D, including supporting the different types of data that you may receive. </w:t>
      </w:r>
    </w:p>
    <w:p w14:paraId="60CCF112" w14:textId="77777777" w:rsidR="00D24A4B" w:rsidRDefault="00D24A4B" w:rsidP="00D24A4B">
      <w:pPr>
        <w:pStyle w:val="Response"/>
      </w:pPr>
      <w:r>
        <w:t>Response:</w:t>
      </w:r>
    </w:p>
    <w:p w14:paraId="3149309B" w14:textId="77777777" w:rsidR="00D24A4B" w:rsidRDefault="00D24A4B" w:rsidP="00D24A4B">
      <w:pPr>
        <w:pStyle w:val="BodyText"/>
      </w:pPr>
      <w:r w:rsidRPr="006D3275">
        <w:t xml:space="preserve">HPE is committed </w:t>
      </w:r>
      <w:r>
        <w:t>that its</w:t>
      </w:r>
      <w:r w:rsidRPr="006D3275">
        <w:t xml:space="preserve"> solution</w:t>
      </w:r>
      <w:r>
        <w:t>s</w:t>
      </w:r>
      <w:r w:rsidRPr="006D3275">
        <w:t xml:space="preserve"> will continue to support the </w:t>
      </w:r>
      <w:r>
        <w:t xml:space="preserve">Cloud characteristics and the </w:t>
      </w:r>
      <w:r w:rsidRPr="006D3275">
        <w:t>IaaS</w:t>
      </w:r>
      <w:r>
        <w:t>, PaaS and SaaS</w:t>
      </w:r>
      <w:r w:rsidRPr="006D3275">
        <w:t xml:space="preserve"> Service and </w:t>
      </w:r>
      <w:r>
        <w:t xml:space="preserve">the </w:t>
      </w:r>
      <w:r w:rsidRPr="006D3275">
        <w:t>Pri</w:t>
      </w:r>
      <w:r>
        <w:t xml:space="preserve">vate, Hybrid and Public Cloud Deployment Models </w:t>
      </w:r>
      <w:r w:rsidRPr="006D3275">
        <w:t>defined in the NIST Special Publication 800-145.</w:t>
      </w:r>
    </w:p>
    <w:p w14:paraId="5FDA87D1" w14:textId="77777777" w:rsidR="00D24A4B" w:rsidRDefault="00D24A4B" w:rsidP="00D24A4B">
      <w:pPr>
        <w:pStyle w:val="BodyText"/>
      </w:pPr>
      <w:r w:rsidRPr="006A56C3">
        <w:t>Microsoft announced that Azure Stack can be now integrated with Azure Government. Azure Stack has been assessed for FedRAMP Moderate (and offer security controls to comply with the requirements). HPE Cyber-security CoE offer consulting and help of the security features of deployments, apps, solutions, etc.</w:t>
      </w:r>
    </w:p>
    <w:p w14:paraId="5D995123" w14:textId="77777777" w:rsidR="00D24A4B" w:rsidRDefault="00D24A4B" w:rsidP="00D24A4B">
      <w:pPr>
        <w:pStyle w:val="BodyText"/>
      </w:pPr>
      <w:r w:rsidRPr="00446D4B">
        <w:t xml:space="preserve">The </w:t>
      </w:r>
      <w:r>
        <w:t xml:space="preserve">Essential Characteristics found in this publication (on-demand self-service, broad network access, resource pooling, rapid elasticity and measured service) are today core to the </w:t>
      </w:r>
      <w:r w:rsidRPr="00446D4B">
        <w:t xml:space="preserve">HPE </w:t>
      </w:r>
      <w:r>
        <w:t xml:space="preserve">GreenLake Flex Capacity Packages offer. </w:t>
      </w:r>
    </w:p>
    <w:p w14:paraId="5DCAA15A" w14:textId="77777777" w:rsidR="00D24A4B" w:rsidRDefault="00D24A4B" w:rsidP="00D24A4B">
      <w:pPr>
        <w:pStyle w:val="BodyText"/>
      </w:pPr>
      <w:r>
        <w:t xml:space="preserve">The HPE GreenLake suite of services will continue to expand not only within the core Datacenter but out through to new demands for Edge computing needs for IoT analytics and the future software defined datacenter evolution. The </w:t>
      </w:r>
      <w:r w:rsidRPr="00BD0D7F">
        <w:t xml:space="preserve">GreenLake Flex Capacity Packages are </w:t>
      </w:r>
      <w:r>
        <w:t xml:space="preserve">on premise solutions serving individual Purchasing Entities, global independent Cloud Service Providers and Hybrid Cloud solutions because of its flexible IaaS consumption advantages for off-balance sheet asset deployment. </w:t>
      </w:r>
      <w:r w:rsidRPr="000B00F7">
        <w:t>GreenLake Flex Capacity is a critical worldwide growth strategy for HPE’s future.</w:t>
      </w:r>
    </w:p>
    <w:p w14:paraId="419CDA47" w14:textId="77777777" w:rsidR="00D24A4B" w:rsidRDefault="00D24A4B" w:rsidP="00D24A4B">
      <w:pPr>
        <w:pStyle w:val="BodyText"/>
      </w:pPr>
      <w:r>
        <w:t xml:space="preserve">Because this </w:t>
      </w:r>
      <w:r w:rsidRPr="00446D4B">
        <w:t>is installed at the Purch</w:t>
      </w:r>
      <w:r>
        <w:t>asing Entity site, it</w:t>
      </w:r>
      <w:r w:rsidRPr="00446D4B">
        <w:t xml:space="preserve"> becomes the Purchasing Entity client’s responsibility for </w:t>
      </w:r>
      <w:r>
        <w:t xml:space="preserve">the </w:t>
      </w:r>
      <w:r w:rsidRPr="00446D4B">
        <w:t>security of data.</w:t>
      </w:r>
      <w:r>
        <w:t xml:space="preserve"> HPE Pointnext does offer optional operational management services that can help assure that the Essential Characteristics of NIST are maintained and secured at peak performance and availability.</w:t>
      </w:r>
    </w:p>
    <w:p w14:paraId="396EB4CE" w14:textId="77777777" w:rsidR="00D24A4B" w:rsidRDefault="00D24A4B" w:rsidP="00D24A4B">
      <w:pPr>
        <w:pStyle w:val="BodyText"/>
      </w:pPr>
      <w:r w:rsidRPr="00BE31F4">
        <w:t>Microsoft Azure Stack can be now integrated with Azure Government. Azure Stack has been assessed for FedRAMP Moderate (and offer security controls to comply with the requirements)</w:t>
      </w:r>
      <w:r>
        <w:t xml:space="preserve">. </w:t>
      </w:r>
    </w:p>
    <w:p w14:paraId="671B0299" w14:textId="77777777" w:rsidR="00D24A4B" w:rsidRDefault="00D24A4B" w:rsidP="00D24A4B">
      <w:pPr>
        <w:pStyle w:val="FigureCaptionAuto"/>
      </w:pPr>
      <w:r>
        <w:lastRenderedPageBreak/>
        <w:t>Digital Enterprise Security</w:t>
      </w:r>
    </w:p>
    <w:p w14:paraId="123F9787" w14:textId="77777777" w:rsidR="00D24A4B" w:rsidRDefault="00D24A4B" w:rsidP="00D24A4B">
      <w:pPr>
        <w:pStyle w:val="BodyText"/>
      </w:pPr>
      <w:r>
        <w:rPr>
          <w:noProof/>
          <w:lang w:val="en-GB" w:eastAsia="en-GB"/>
        </w:rPr>
        <w:drawing>
          <wp:inline distT="0" distB="0" distL="0" distR="0" wp14:anchorId="3EF99E6F" wp14:editId="093FD295">
            <wp:extent cx="5624830" cy="335343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230DF25.tmp"/>
                    <pic:cNvPicPr/>
                  </pic:nvPicPr>
                  <pic:blipFill>
                    <a:blip r:embed="rId33">
                      <a:extLst>
                        <a:ext uri="{28A0092B-C50C-407E-A947-70E740481C1C}">
                          <a14:useLocalDpi xmlns:a14="http://schemas.microsoft.com/office/drawing/2010/main" val="0"/>
                        </a:ext>
                      </a:extLst>
                    </a:blip>
                    <a:stretch>
                      <a:fillRect/>
                    </a:stretch>
                  </pic:blipFill>
                  <pic:spPr>
                    <a:xfrm>
                      <a:off x="0" y="0"/>
                      <a:ext cx="5624830" cy="3353435"/>
                    </a:xfrm>
                    <a:prstGeom prst="rect">
                      <a:avLst/>
                    </a:prstGeom>
                  </pic:spPr>
                </pic:pic>
              </a:graphicData>
            </a:graphic>
          </wp:inline>
        </w:drawing>
      </w:r>
    </w:p>
    <w:p w14:paraId="2CA4D7C2" w14:textId="77777777" w:rsidR="00D24A4B" w:rsidRDefault="00D24A4B" w:rsidP="00D24A4B">
      <w:pPr>
        <w:pStyle w:val="Bullet1Double0"/>
        <w:shd w:val="clear" w:color="auto" w:fill="DBDCDD"/>
        <w:ind w:left="720" w:hanging="720"/>
      </w:pPr>
      <w:r>
        <w:t>8.6.2</w:t>
      </w:r>
      <w:r>
        <w:tab/>
        <w:t>Offeror must list all government or standards organization security certifications it currently holds that apply specifically to the Offeror’s proposal, as well as those in process at time of response. Specifically include HIPAA, FERPA, CJIS Security Policy, PCI Data Security Standards (DSS), IRS Publication 1075, FISMA, NIST 800-53, NIST SP 800-171, and FIPS 200 if they apply.</w:t>
      </w:r>
    </w:p>
    <w:p w14:paraId="4AF5EC6A" w14:textId="77777777" w:rsidR="00D24A4B" w:rsidRDefault="00D24A4B" w:rsidP="00D24A4B">
      <w:pPr>
        <w:pStyle w:val="Response"/>
      </w:pPr>
      <w:r>
        <w:t>Response:</w:t>
      </w:r>
    </w:p>
    <w:p w14:paraId="577B8E86" w14:textId="77777777" w:rsidR="00D24A4B" w:rsidRDefault="00D24A4B" w:rsidP="00D24A4B">
      <w:pPr>
        <w:pStyle w:val="BodyText"/>
      </w:pPr>
      <w:r w:rsidRPr="00446D4B">
        <w:t xml:space="preserve">The HPE </w:t>
      </w:r>
      <w:r>
        <w:t>GreenLake Flex Capacity Packages are</w:t>
      </w:r>
      <w:r w:rsidRPr="00446D4B">
        <w:t xml:space="preserve"> installed at the Purchasing Entity site and becomes the Purchasing Entity client’s responsibility for security of data.</w:t>
      </w:r>
      <w:r>
        <w:t xml:space="preserve">  As such, they provide the maximum amount of flexibility in meeting the growing security needs of government.</w:t>
      </w:r>
    </w:p>
    <w:p w14:paraId="3A1799B9" w14:textId="77777777" w:rsidR="00D24A4B" w:rsidRDefault="00D24A4B" w:rsidP="00D24A4B">
      <w:pPr>
        <w:pStyle w:val="BodyText"/>
      </w:pPr>
      <w:r>
        <w:t>HPE Storage and Compute platforms provide encryption capabilities.  When enabled, these capabilities provide the purchasing entity compliance against most public sector security requirements including HIPAA, PCI etc.</w:t>
      </w:r>
    </w:p>
    <w:p w14:paraId="36712F64" w14:textId="77777777" w:rsidR="00D24A4B" w:rsidRDefault="00D24A4B" w:rsidP="00D24A4B">
      <w:pPr>
        <w:pStyle w:val="BodyText"/>
      </w:pPr>
      <w:r>
        <w:t>Figure 23 depicts HPE’s approach to security, which is aligned to ISO 27001/002, ESRA, CSA, and NIST 800 standards.</w:t>
      </w:r>
    </w:p>
    <w:p w14:paraId="2F33D95C" w14:textId="77777777" w:rsidR="00D24A4B" w:rsidRDefault="00D24A4B" w:rsidP="00D24A4B">
      <w:pPr>
        <w:pStyle w:val="FigureCaptionAuto"/>
      </w:pPr>
      <w:r>
        <w:lastRenderedPageBreak/>
        <w:t>Enterprise Security Reference Architecture</w:t>
      </w:r>
    </w:p>
    <w:p w14:paraId="73266394" w14:textId="77777777" w:rsidR="00D24A4B" w:rsidRPr="00371EA9" w:rsidRDefault="00D24A4B" w:rsidP="00D24A4B">
      <w:pPr>
        <w:pStyle w:val="BodyText"/>
      </w:pPr>
      <w:r>
        <w:rPr>
          <w:noProof/>
          <w:lang w:val="en-GB" w:eastAsia="en-GB"/>
        </w:rPr>
        <w:drawing>
          <wp:inline distT="0" distB="0" distL="0" distR="0" wp14:anchorId="707E51D4" wp14:editId="39161898">
            <wp:extent cx="5624830" cy="329628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23078F1.tmp"/>
                    <pic:cNvPicPr/>
                  </pic:nvPicPr>
                  <pic:blipFill>
                    <a:blip r:embed="rId34">
                      <a:extLst>
                        <a:ext uri="{28A0092B-C50C-407E-A947-70E740481C1C}">
                          <a14:useLocalDpi xmlns:a14="http://schemas.microsoft.com/office/drawing/2010/main" val="0"/>
                        </a:ext>
                      </a:extLst>
                    </a:blip>
                    <a:stretch>
                      <a:fillRect/>
                    </a:stretch>
                  </pic:blipFill>
                  <pic:spPr>
                    <a:xfrm>
                      <a:off x="0" y="0"/>
                      <a:ext cx="5624830" cy="3296285"/>
                    </a:xfrm>
                    <a:prstGeom prst="rect">
                      <a:avLst/>
                    </a:prstGeom>
                  </pic:spPr>
                </pic:pic>
              </a:graphicData>
            </a:graphic>
          </wp:inline>
        </w:drawing>
      </w:r>
    </w:p>
    <w:p w14:paraId="22C717B5" w14:textId="77777777" w:rsidR="00D24A4B" w:rsidRDefault="00D24A4B" w:rsidP="00D24A4B">
      <w:pPr>
        <w:pStyle w:val="Bullet1Double0"/>
        <w:shd w:val="clear" w:color="auto" w:fill="DBDCDD"/>
        <w:ind w:left="720" w:hanging="720"/>
      </w:pPr>
      <w:r>
        <w:t>8.6.3</w:t>
      </w:r>
      <w:r>
        <w:tab/>
        <w:t>Offeror must describe its security practices in place to secure data and applications, including threats from outside the service center as well as other customers co-located within the same service center.</w:t>
      </w:r>
    </w:p>
    <w:p w14:paraId="4AE546CE" w14:textId="77777777" w:rsidR="00D24A4B" w:rsidRDefault="00D24A4B" w:rsidP="00D24A4B">
      <w:pPr>
        <w:pStyle w:val="Response"/>
      </w:pPr>
      <w:r>
        <w:t>Response:</w:t>
      </w:r>
    </w:p>
    <w:p w14:paraId="58DA34AF" w14:textId="5DE4AAEA" w:rsidR="00D24A4B" w:rsidRDefault="00D24A4B" w:rsidP="00D24A4B">
      <w:pPr>
        <w:pStyle w:val="BodyText"/>
      </w:pPr>
      <w:r w:rsidRPr="00446D4B">
        <w:t xml:space="preserve">The HPE </w:t>
      </w:r>
      <w:r>
        <w:t>GreenLake Flex Capacity Packages are</w:t>
      </w:r>
      <w:r w:rsidRPr="00446D4B">
        <w:t xml:space="preserve"> installed at the Purchasing Entity site and becomes the Purchasing Entity client’s responsibility for security of data.</w:t>
      </w:r>
      <w:r>
        <w:t xml:space="preserve"> </w:t>
      </w:r>
      <w:r w:rsidRPr="00A12A9A">
        <w:t>HPE Pointnext Security Portfolio</w:t>
      </w:r>
      <w:r>
        <w:t xml:space="preserve"> offer the </w:t>
      </w:r>
      <w:r w:rsidRPr="00A12A9A">
        <w:t>Purchasing Entity</w:t>
      </w:r>
      <w:r>
        <w:t xml:space="preserve"> a vast option of services, see </w:t>
      </w:r>
      <w:r w:rsidRPr="00092841">
        <w:t>Figure 2</w:t>
      </w:r>
      <w:r w:rsidR="00092841" w:rsidRPr="00092841">
        <w:t>2</w:t>
      </w:r>
      <w:r w:rsidRPr="00092841">
        <w:t xml:space="preserve"> below.</w:t>
      </w:r>
    </w:p>
    <w:p w14:paraId="46241456" w14:textId="77777777" w:rsidR="00D24A4B" w:rsidRDefault="00D24A4B" w:rsidP="00D24A4B">
      <w:pPr>
        <w:pStyle w:val="FigureCaptionAuto"/>
      </w:pPr>
      <w:r>
        <w:t>HPE Pointnext Security Portfolio</w:t>
      </w:r>
    </w:p>
    <w:p w14:paraId="712CFD42" w14:textId="77777777" w:rsidR="00D24A4B" w:rsidRDefault="00D24A4B" w:rsidP="00D24A4B">
      <w:pPr>
        <w:pStyle w:val="BodyText"/>
      </w:pPr>
      <w:r>
        <w:rPr>
          <w:noProof/>
          <w:lang w:val="en-GB" w:eastAsia="en-GB"/>
        </w:rPr>
        <w:drawing>
          <wp:inline distT="0" distB="0" distL="0" distR="0" wp14:anchorId="1FBA4C52" wp14:editId="490EBC1B">
            <wp:extent cx="5624830" cy="267017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23019C3.tmp"/>
                    <pic:cNvPicPr/>
                  </pic:nvPicPr>
                  <pic:blipFill>
                    <a:blip r:embed="rId35">
                      <a:extLst>
                        <a:ext uri="{28A0092B-C50C-407E-A947-70E740481C1C}">
                          <a14:useLocalDpi xmlns:a14="http://schemas.microsoft.com/office/drawing/2010/main" val="0"/>
                        </a:ext>
                      </a:extLst>
                    </a:blip>
                    <a:stretch>
                      <a:fillRect/>
                    </a:stretch>
                  </pic:blipFill>
                  <pic:spPr>
                    <a:xfrm>
                      <a:off x="0" y="0"/>
                      <a:ext cx="5624830" cy="2670175"/>
                    </a:xfrm>
                    <a:prstGeom prst="rect">
                      <a:avLst/>
                    </a:prstGeom>
                  </pic:spPr>
                </pic:pic>
              </a:graphicData>
            </a:graphic>
          </wp:inline>
        </w:drawing>
      </w:r>
    </w:p>
    <w:p w14:paraId="65FCBAE5" w14:textId="77777777" w:rsidR="00D24A4B" w:rsidRDefault="00D24A4B" w:rsidP="00D24A4B">
      <w:pPr>
        <w:pStyle w:val="Bullet1Double0"/>
        <w:shd w:val="clear" w:color="auto" w:fill="DBDCDD"/>
        <w:ind w:left="720" w:hanging="720"/>
      </w:pPr>
      <w:r>
        <w:t>8.6.4</w:t>
      </w:r>
      <w:r>
        <w:tab/>
        <w:t xml:space="preserve">Offeror must describe its data confidentiality standards and practices that are in place to ensure data confidentiality. This must include not only prevention of </w:t>
      </w:r>
      <w:r>
        <w:lastRenderedPageBreak/>
        <w:t>exposure to unauthorized personnel, but also managing and reviewing access that administrators have to stored data. Include information on your hardware policies (laptops, mobile etc).</w:t>
      </w:r>
    </w:p>
    <w:p w14:paraId="2B9ACF04" w14:textId="77777777" w:rsidR="00D24A4B" w:rsidRDefault="00D24A4B" w:rsidP="00D24A4B">
      <w:pPr>
        <w:pStyle w:val="Response"/>
      </w:pPr>
      <w:r>
        <w:t>Response:</w:t>
      </w:r>
    </w:p>
    <w:p w14:paraId="6D048E8A" w14:textId="48E94191" w:rsidR="00D24A4B" w:rsidRDefault="00D24A4B" w:rsidP="00D24A4B">
      <w:pPr>
        <w:pStyle w:val="BodyText"/>
      </w:pPr>
      <w:r w:rsidRPr="00446D4B">
        <w:t xml:space="preserve">The HPE </w:t>
      </w:r>
      <w:r>
        <w:t>GreenLake Flex Capacity Packages are</w:t>
      </w:r>
      <w:r w:rsidRPr="00446D4B">
        <w:t xml:space="preserve"> installed at the Purchasing Entity site and becomes the Purchasing Entity client’s responsibility for security of data.</w:t>
      </w:r>
      <w:r>
        <w:t xml:space="preserve"> </w:t>
      </w:r>
      <w:r w:rsidRPr="00A12A9A">
        <w:t xml:space="preserve">HPE Pointnext Security Portfolio offer the Purchasing Entity a vast option of services see </w:t>
      </w:r>
      <w:r>
        <w:t>Figure 2</w:t>
      </w:r>
      <w:r w:rsidR="00092841">
        <w:t>1</w:t>
      </w:r>
      <w:r>
        <w:t>.</w:t>
      </w:r>
    </w:p>
    <w:p w14:paraId="62DD25EA" w14:textId="77777777" w:rsidR="00D24A4B" w:rsidRPr="00371EA9" w:rsidRDefault="00D24A4B" w:rsidP="00D24A4B">
      <w:pPr>
        <w:pStyle w:val="BodyText"/>
      </w:pPr>
      <w:r w:rsidRPr="00D11795">
        <w:t xml:space="preserve">HPE includes its Data Processing and Security </w:t>
      </w:r>
      <w:r>
        <w:t>practices</w:t>
      </w:r>
      <w:r w:rsidRPr="00D11795">
        <w:t xml:space="preserve"> in Section 8, Supplementary Terms – Exhibit M, contained in this bid response for the State’s reference.</w:t>
      </w:r>
    </w:p>
    <w:p w14:paraId="59045D7E" w14:textId="77777777" w:rsidR="00D24A4B" w:rsidRDefault="00D24A4B" w:rsidP="00D24A4B">
      <w:pPr>
        <w:pStyle w:val="Bullet1Double0"/>
        <w:shd w:val="clear" w:color="auto" w:fill="DBDCDD"/>
        <w:ind w:left="720" w:hanging="720"/>
      </w:pPr>
      <w:r>
        <w:t>8.6.5</w:t>
      </w:r>
      <w:r>
        <w:tab/>
        <w:t>Offeror must provide a detailed list of the third-party attestations, reports, security credentials (e.g., FedRamp High, FedRamp Moderate, etc.), and certifications relating to data security, integrity, and other controls.</w:t>
      </w:r>
    </w:p>
    <w:p w14:paraId="1783A2A9" w14:textId="77777777" w:rsidR="00D24A4B" w:rsidRDefault="00D24A4B" w:rsidP="00D24A4B">
      <w:pPr>
        <w:pStyle w:val="Response"/>
      </w:pPr>
      <w:r>
        <w:t>Response:</w:t>
      </w:r>
    </w:p>
    <w:p w14:paraId="3003F8D9" w14:textId="77777777" w:rsidR="00D24A4B" w:rsidRDefault="00D24A4B" w:rsidP="00D24A4B">
      <w:pPr>
        <w:pStyle w:val="BodyText"/>
      </w:pPr>
      <w:r w:rsidRPr="00446D4B">
        <w:t xml:space="preserve">The HPE </w:t>
      </w:r>
      <w:r>
        <w:t>GreenLake Flex Capacity Packages are</w:t>
      </w:r>
      <w:r w:rsidRPr="00446D4B">
        <w:t xml:space="preserve"> installed at the Purchasing Entity site and becomes the Purchasing Entity client’s responsibility for security of data.</w:t>
      </w:r>
      <w:r>
        <w:t xml:space="preserve"> </w:t>
      </w:r>
    </w:p>
    <w:p w14:paraId="236E734D" w14:textId="77777777" w:rsidR="00D24A4B" w:rsidRPr="00371EA9" w:rsidRDefault="00D24A4B" w:rsidP="00D24A4B">
      <w:pPr>
        <w:pStyle w:val="BodyText"/>
      </w:pPr>
      <w:r w:rsidRPr="00BE31F4">
        <w:t>Microsoft Azure Stack can be now integrated with Azure Government. Azure Stack has been assessed for FedRAMP Moderate (and offer security controls to comply with the requirements). </w:t>
      </w:r>
    </w:p>
    <w:p w14:paraId="5F4A1BF9" w14:textId="77777777" w:rsidR="00D24A4B" w:rsidRDefault="00D24A4B" w:rsidP="00D24A4B">
      <w:pPr>
        <w:pStyle w:val="Bullet1Double0"/>
        <w:shd w:val="clear" w:color="auto" w:fill="DBDCDD"/>
        <w:ind w:left="720" w:hanging="720"/>
      </w:pPr>
      <w:r>
        <w:t>8.6.6</w:t>
      </w:r>
      <w:r>
        <w:tab/>
        <w:t>Offeror must describe its logging process including the types of services and devices logged; the event types logged; and the information fields. You should include detailed response on how you plan to maintain security certifications.</w:t>
      </w:r>
    </w:p>
    <w:p w14:paraId="392018D7" w14:textId="77777777" w:rsidR="00D24A4B" w:rsidRDefault="00D24A4B" w:rsidP="00D24A4B">
      <w:pPr>
        <w:pStyle w:val="Response"/>
      </w:pPr>
      <w:r>
        <w:t>Response:</w:t>
      </w:r>
    </w:p>
    <w:p w14:paraId="1F65D3D6" w14:textId="0C257021" w:rsidR="00D24A4B" w:rsidRPr="00371EA9" w:rsidRDefault="00D24A4B" w:rsidP="00D24A4B">
      <w:pPr>
        <w:pStyle w:val="BodyText"/>
      </w:pPr>
      <w:r w:rsidRPr="00446D4B">
        <w:t xml:space="preserve">The HPE </w:t>
      </w:r>
      <w:r>
        <w:t xml:space="preserve">GreenLake Flex Capacity Packages </w:t>
      </w:r>
      <w:r w:rsidRPr="00446D4B">
        <w:t>is installed at the Purchasing Entity site and becomes the Purchasing Entity client’s responsibility for security of data.</w:t>
      </w:r>
      <w:r>
        <w:t xml:space="preserve"> </w:t>
      </w:r>
      <w:r w:rsidRPr="00A12A9A">
        <w:t xml:space="preserve">HPE Pointnext Security Portfolio offer the Purchasing Entity a vast option of services see </w:t>
      </w:r>
      <w:r>
        <w:t>Figure 2</w:t>
      </w:r>
      <w:r w:rsidR="00092841">
        <w:t>1</w:t>
      </w:r>
      <w:r>
        <w:t>.</w:t>
      </w:r>
    </w:p>
    <w:p w14:paraId="207C8984" w14:textId="77777777" w:rsidR="00D24A4B" w:rsidRDefault="00D24A4B" w:rsidP="00D24A4B">
      <w:pPr>
        <w:pStyle w:val="Bullet1Double0"/>
        <w:shd w:val="clear" w:color="auto" w:fill="DBDCDD"/>
        <w:ind w:left="720" w:hanging="720"/>
      </w:pPr>
      <w:r>
        <w:t>8.6.7</w:t>
      </w:r>
      <w:r>
        <w:tab/>
        <w:t>Offeror must describe whether it can restrict visibility of cloud hosted data and documents to specific users or groups.</w:t>
      </w:r>
    </w:p>
    <w:p w14:paraId="64B45F72" w14:textId="77777777" w:rsidR="00D24A4B" w:rsidRDefault="00D24A4B" w:rsidP="00D24A4B">
      <w:pPr>
        <w:pStyle w:val="Response"/>
      </w:pPr>
      <w:r>
        <w:t>Response:</w:t>
      </w:r>
    </w:p>
    <w:p w14:paraId="76BE9817" w14:textId="49DBA1C4" w:rsidR="00D24A4B" w:rsidRPr="00371EA9" w:rsidRDefault="00D24A4B" w:rsidP="00D24A4B">
      <w:pPr>
        <w:pStyle w:val="BodyText"/>
      </w:pPr>
      <w:r w:rsidRPr="00446D4B">
        <w:t xml:space="preserve">The HPE </w:t>
      </w:r>
      <w:r>
        <w:t>GreenLake Flex Capacity Packages</w:t>
      </w:r>
      <w:r w:rsidRPr="00446D4B">
        <w:t xml:space="preserve"> </w:t>
      </w:r>
      <w:r>
        <w:t>are</w:t>
      </w:r>
      <w:r w:rsidRPr="00446D4B">
        <w:t xml:space="preserve"> installed at the Purchasing Entity site and becomes the Purchasing Entity client’s responsibility for security of data.</w:t>
      </w:r>
      <w:r>
        <w:t xml:space="preserve"> </w:t>
      </w:r>
      <w:r w:rsidRPr="00A12A9A">
        <w:t>HPE Pointnext Security Portfolio offer the Purchasing Entity a vast option</w:t>
      </w:r>
      <w:r>
        <w:t xml:space="preserve"> of services see Figure 2</w:t>
      </w:r>
      <w:r w:rsidR="00092841">
        <w:t>1</w:t>
      </w:r>
      <w:r>
        <w:t>.</w:t>
      </w:r>
    </w:p>
    <w:p w14:paraId="08DD97FB" w14:textId="77777777" w:rsidR="00D24A4B" w:rsidRDefault="00D24A4B" w:rsidP="00D24A4B">
      <w:pPr>
        <w:pStyle w:val="Bullet1Double0"/>
        <w:shd w:val="clear" w:color="auto" w:fill="DBDCDD"/>
        <w:ind w:left="720" w:hanging="720"/>
      </w:pPr>
      <w:r>
        <w:t>8.6.8</w:t>
      </w:r>
      <w:r>
        <w:tab/>
        <w:t>Offeror must describe its notification process in the event of a security incident, including relating to timing, incident levels. Offeror should take into consideration that Purchasing Entities may have different notification requirements based on applicable laws and the categorization type of the data being processed or stored.</w:t>
      </w:r>
    </w:p>
    <w:p w14:paraId="381C21C5" w14:textId="77777777" w:rsidR="00D24A4B" w:rsidRDefault="00D24A4B" w:rsidP="00D24A4B">
      <w:pPr>
        <w:pStyle w:val="Response"/>
      </w:pPr>
      <w:r>
        <w:t>Response:</w:t>
      </w:r>
    </w:p>
    <w:p w14:paraId="2A485524" w14:textId="02E13660" w:rsidR="00D24A4B" w:rsidRDefault="00D24A4B" w:rsidP="00D24A4B">
      <w:pPr>
        <w:pStyle w:val="BodyText"/>
      </w:pPr>
      <w:r w:rsidRPr="00446D4B">
        <w:t xml:space="preserve">The HPE </w:t>
      </w:r>
      <w:r>
        <w:t>GreenLake Flex Capacity Packages are</w:t>
      </w:r>
      <w:r w:rsidRPr="00446D4B">
        <w:t xml:space="preserve"> installed at the Purchasing Entity site and becomes the Purchasing Entity client’s responsibility for security of data.</w:t>
      </w:r>
      <w:r>
        <w:t xml:space="preserve"> </w:t>
      </w:r>
      <w:r w:rsidRPr="00A12A9A">
        <w:t>HPE Pointnext Security Portfolio offer the Purchasing Entity a vast option</w:t>
      </w:r>
      <w:r>
        <w:t xml:space="preserve"> of services see Figure 2</w:t>
      </w:r>
      <w:r w:rsidR="00092841">
        <w:t>1</w:t>
      </w:r>
      <w:r>
        <w:t>.</w:t>
      </w:r>
    </w:p>
    <w:p w14:paraId="33F70000" w14:textId="77777777" w:rsidR="00D24A4B" w:rsidRPr="00371EA9" w:rsidRDefault="00D24A4B" w:rsidP="00D24A4B">
      <w:pPr>
        <w:pStyle w:val="BodyText"/>
      </w:pPr>
      <w:r w:rsidRPr="00D11795">
        <w:t>HPE includes its Data Processing and Security terms in Section 8, Supplementary Terms – Exhibit M, contained in this bid response for the State’s reference.</w:t>
      </w:r>
    </w:p>
    <w:p w14:paraId="25C7C323" w14:textId="77777777" w:rsidR="00D24A4B" w:rsidRDefault="00D24A4B" w:rsidP="00D24A4B">
      <w:pPr>
        <w:pStyle w:val="Bullet1Double0"/>
        <w:shd w:val="clear" w:color="auto" w:fill="DBDCDD"/>
        <w:ind w:left="720" w:hanging="720"/>
      </w:pPr>
      <w:r>
        <w:lastRenderedPageBreak/>
        <w:t>8.6.9</w:t>
      </w:r>
      <w:r>
        <w:tab/>
        <w:t>Offeror must describe and identify whether or not it has any security controls, both physical and virtual Zones of Control Architectures (ZOCA), used to isolate hosted servers.</w:t>
      </w:r>
    </w:p>
    <w:p w14:paraId="7B95E5F6" w14:textId="77777777" w:rsidR="00D24A4B" w:rsidRDefault="00D24A4B" w:rsidP="00D24A4B">
      <w:pPr>
        <w:pStyle w:val="Response"/>
      </w:pPr>
      <w:r>
        <w:t>Response:</w:t>
      </w:r>
    </w:p>
    <w:p w14:paraId="40A3FCD0" w14:textId="4ADB32E3" w:rsidR="00D24A4B" w:rsidRPr="00371EA9" w:rsidRDefault="00D24A4B" w:rsidP="00D24A4B">
      <w:pPr>
        <w:pStyle w:val="BodyText"/>
      </w:pPr>
      <w:r w:rsidRPr="00446D4B">
        <w:t xml:space="preserve">The HPE </w:t>
      </w:r>
      <w:r>
        <w:t>GreenLake Flex Capacity Packages are</w:t>
      </w:r>
      <w:r w:rsidRPr="00446D4B">
        <w:t xml:space="preserve"> installed at the Purchasing Entity site and becomes the Purchasing Entity client’s responsibility for security of data.</w:t>
      </w:r>
      <w:r>
        <w:t xml:space="preserve"> </w:t>
      </w:r>
      <w:r w:rsidRPr="00A12A9A">
        <w:t>HPE Pointnext Security Portfolio offer the Purchasing Entity a vast option</w:t>
      </w:r>
      <w:r>
        <w:t xml:space="preserve"> of services. Please see Figure 2</w:t>
      </w:r>
      <w:r w:rsidR="00092841">
        <w:t>1</w:t>
      </w:r>
      <w:r>
        <w:t>.</w:t>
      </w:r>
    </w:p>
    <w:p w14:paraId="6E268782" w14:textId="77777777" w:rsidR="00D24A4B" w:rsidRDefault="00D24A4B" w:rsidP="00D24A4B">
      <w:pPr>
        <w:pStyle w:val="Bullet1Double0"/>
        <w:shd w:val="clear" w:color="auto" w:fill="DBDCDD"/>
        <w:ind w:left="720" w:hanging="720"/>
      </w:pPr>
      <w:r w:rsidRPr="00C35617">
        <w:t>8.6.10</w:t>
      </w:r>
      <w:r w:rsidRPr="00C35617">
        <w:tab/>
        <w:t>Provide Security Technical Reference Architectures that support Infrastructure as a Service (IaaS), Software as a Service (SaaS) &amp; Platform as a Service (PaaS).</w:t>
      </w:r>
    </w:p>
    <w:p w14:paraId="57297F29" w14:textId="77777777" w:rsidR="00D24A4B" w:rsidRDefault="00D24A4B" w:rsidP="00D24A4B">
      <w:pPr>
        <w:pStyle w:val="Response"/>
      </w:pPr>
      <w:r>
        <w:t>Response:</w:t>
      </w:r>
    </w:p>
    <w:p w14:paraId="6E002853" w14:textId="09CF26F4" w:rsidR="00D24A4B" w:rsidRPr="007F0C38" w:rsidRDefault="00D24A4B" w:rsidP="00D24A4B">
      <w:pPr>
        <w:pStyle w:val="BodyText"/>
      </w:pPr>
      <w:r w:rsidRPr="00446D4B">
        <w:t xml:space="preserve">The HPE </w:t>
      </w:r>
      <w:r>
        <w:t>GreenLake Flex Capacity Packages are</w:t>
      </w:r>
      <w:r w:rsidRPr="00446D4B">
        <w:t xml:space="preserve"> installed at the Purchasing Entity site and becomes the Purchasing Entity client’s responsibility for security of data.</w:t>
      </w:r>
      <w:r>
        <w:t xml:space="preserve"> </w:t>
      </w:r>
      <w:r w:rsidRPr="007F0C38">
        <w:t>HPE Pointnext Security CoE</w:t>
      </w:r>
      <w:r>
        <w:t xml:space="preserve"> team has built a reference architecture for Azure Stack and are continually updating it as new technology comes to the market place. Please refer to Figure 2</w:t>
      </w:r>
      <w:r w:rsidR="00092841">
        <w:t>1</w:t>
      </w:r>
      <w:r>
        <w:t xml:space="preserve">, </w:t>
      </w:r>
      <w:r w:rsidRPr="00C35617">
        <w:t>Enterprise Security Reference Architecture</w:t>
      </w:r>
      <w:r>
        <w:t xml:space="preserve"> for additional information.</w:t>
      </w:r>
    </w:p>
    <w:p w14:paraId="1717EF97" w14:textId="77777777" w:rsidR="00D24A4B" w:rsidRDefault="00D24A4B" w:rsidP="00D24A4B">
      <w:pPr>
        <w:pStyle w:val="Bullet1Double0"/>
        <w:shd w:val="clear" w:color="auto" w:fill="DBDCDD"/>
        <w:ind w:left="720" w:hanging="720"/>
      </w:pPr>
      <w:r>
        <w:t>8.6.11</w:t>
      </w:r>
      <w:r>
        <w:tab/>
        <w:t>Describe security procedures (background checks, foot printing logging, etc.) which are in place regarding Offeror’s employees who have access to sensitive data.</w:t>
      </w:r>
    </w:p>
    <w:p w14:paraId="0C4F3C04" w14:textId="77777777" w:rsidR="00D24A4B" w:rsidRDefault="00D24A4B" w:rsidP="00D24A4B">
      <w:pPr>
        <w:pStyle w:val="Response"/>
      </w:pPr>
      <w:r>
        <w:t>Response:</w:t>
      </w:r>
    </w:p>
    <w:p w14:paraId="56BE15DB" w14:textId="77777777" w:rsidR="00D24A4B" w:rsidRDefault="00D24A4B" w:rsidP="00D24A4B">
      <w:pPr>
        <w:pStyle w:val="BodyText"/>
      </w:pPr>
      <w:r>
        <w:t>HPE employees are its most important resource. They are also the individuals with access to HPE information. The HR business unit established and implemented policies and procedures to ensure that:</w:t>
      </w:r>
    </w:p>
    <w:p w14:paraId="5559596F" w14:textId="77777777" w:rsidR="00D24A4B" w:rsidRDefault="00D24A4B" w:rsidP="00D24A4B">
      <w:pPr>
        <w:pStyle w:val="Bullet1Double"/>
        <w:numPr>
          <w:ilvl w:val="0"/>
          <w:numId w:val="9"/>
        </w:numPr>
        <w:tabs>
          <w:tab w:val="clear" w:pos="0"/>
        </w:tabs>
        <w:ind w:left="360" w:hanging="360"/>
      </w:pPr>
      <w:r>
        <w:t>Prior to employment, the employee background is appropriately checked.</w:t>
      </w:r>
    </w:p>
    <w:p w14:paraId="5FC8E039" w14:textId="77777777" w:rsidR="00D24A4B" w:rsidRDefault="00D24A4B" w:rsidP="00D24A4B">
      <w:pPr>
        <w:pStyle w:val="Bullet1Double"/>
        <w:numPr>
          <w:ilvl w:val="0"/>
          <w:numId w:val="9"/>
        </w:numPr>
        <w:tabs>
          <w:tab w:val="clear" w:pos="0"/>
        </w:tabs>
        <w:ind w:left="360" w:hanging="360"/>
      </w:pPr>
      <w:r>
        <w:t>The employees understand and are aware of the terms of their employment.</w:t>
      </w:r>
    </w:p>
    <w:p w14:paraId="384ECFF0" w14:textId="77777777" w:rsidR="00D24A4B" w:rsidRDefault="00D24A4B" w:rsidP="00D24A4B">
      <w:pPr>
        <w:pStyle w:val="Bullet1Double"/>
        <w:numPr>
          <w:ilvl w:val="0"/>
          <w:numId w:val="9"/>
        </w:numPr>
        <w:tabs>
          <w:tab w:val="clear" w:pos="0"/>
        </w:tabs>
        <w:ind w:left="360" w:hanging="360"/>
      </w:pPr>
      <w:r>
        <w:t>The information security guidelines are clearly briefed to the employees.</w:t>
      </w:r>
    </w:p>
    <w:p w14:paraId="428BECE0" w14:textId="77777777" w:rsidR="00D24A4B" w:rsidRDefault="00D24A4B" w:rsidP="00D24A4B">
      <w:pPr>
        <w:pStyle w:val="Bullet1Double"/>
        <w:numPr>
          <w:ilvl w:val="0"/>
          <w:numId w:val="9"/>
        </w:numPr>
        <w:tabs>
          <w:tab w:val="clear" w:pos="0"/>
        </w:tabs>
        <w:ind w:left="360" w:hanging="360"/>
      </w:pPr>
      <w:r>
        <w:t>An information security awareness program exists and is implemented.</w:t>
      </w:r>
    </w:p>
    <w:p w14:paraId="0D0B1A2E" w14:textId="77777777" w:rsidR="00D24A4B" w:rsidRDefault="00D24A4B" w:rsidP="00D24A4B">
      <w:pPr>
        <w:pStyle w:val="Bullet1Double"/>
        <w:numPr>
          <w:ilvl w:val="0"/>
          <w:numId w:val="9"/>
        </w:numPr>
        <w:tabs>
          <w:tab w:val="clear" w:pos="0"/>
        </w:tabs>
        <w:ind w:left="360" w:hanging="360"/>
      </w:pPr>
      <w:r>
        <w:t>A formal disciplinary process for handling security breaches is established.</w:t>
      </w:r>
    </w:p>
    <w:p w14:paraId="7DF81127" w14:textId="77777777" w:rsidR="00D24A4B" w:rsidRDefault="00D24A4B" w:rsidP="00D24A4B">
      <w:pPr>
        <w:pStyle w:val="Bullet1Double"/>
        <w:numPr>
          <w:ilvl w:val="0"/>
          <w:numId w:val="9"/>
        </w:numPr>
        <w:tabs>
          <w:tab w:val="clear" w:pos="0"/>
        </w:tabs>
        <w:ind w:left="360" w:hanging="360"/>
      </w:pPr>
      <w:r>
        <w:t>Employment termination or role change is conducted in a controlled and secured manner.</w:t>
      </w:r>
    </w:p>
    <w:p w14:paraId="30B6F915" w14:textId="77777777" w:rsidR="00D24A4B" w:rsidRDefault="00D24A4B" w:rsidP="00D24A4B">
      <w:pPr>
        <w:pStyle w:val="BodyText"/>
      </w:pPr>
      <w:r>
        <w:t xml:space="preserve">Additionally at HPE, integrity matters. Winning the right way is vital to HPE’s success and employees are expected to conduct business with uncompromising integrity. HPE follows strict policies and procedures (below) to ensure your data remains private and protected. </w:t>
      </w:r>
    </w:p>
    <w:p w14:paraId="767E7477" w14:textId="77777777" w:rsidR="00D24A4B" w:rsidRDefault="00D24A4B" w:rsidP="00D24A4B">
      <w:pPr>
        <w:pStyle w:val="Bullet1Double"/>
        <w:numPr>
          <w:ilvl w:val="0"/>
          <w:numId w:val="9"/>
        </w:numPr>
        <w:tabs>
          <w:tab w:val="clear" w:pos="0"/>
        </w:tabs>
        <w:ind w:left="360" w:hanging="360"/>
      </w:pPr>
      <w:r>
        <w:t>Annual Standards of Business Conduct (SBC) training, which includes a unit of data security.</w:t>
      </w:r>
    </w:p>
    <w:p w14:paraId="6C46F143" w14:textId="77777777" w:rsidR="00D24A4B" w:rsidRDefault="00D24A4B" w:rsidP="00D24A4B">
      <w:pPr>
        <w:pStyle w:val="Bullet1Double"/>
        <w:numPr>
          <w:ilvl w:val="0"/>
          <w:numId w:val="9"/>
        </w:numPr>
        <w:tabs>
          <w:tab w:val="clear" w:pos="0"/>
        </w:tabs>
        <w:ind w:left="360" w:hanging="360"/>
      </w:pPr>
      <w:r>
        <w:t>Clearly defined terms of employment ensure employees understand the importance of data security.</w:t>
      </w:r>
    </w:p>
    <w:p w14:paraId="78A2973D" w14:textId="77777777" w:rsidR="00D24A4B" w:rsidRDefault="00D24A4B" w:rsidP="00D24A4B">
      <w:pPr>
        <w:pStyle w:val="Bullet1Double"/>
        <w:numPr>
          <w:ilvl w:val="0"/>
          <w:numId w:val="9"/>
        </w:numPr>
        <w:tabs>
          <w:tab w:val="clear" w:pos="0"/>
        </w:tabs>
        <w:ind w:left="360" w:hanging="360"/>
      </w:pPr>
      <w:r>
        <w:t>Comprehensive information security guidelines outline security policies and protocols.</w:t>
      </w:r>
    </w:p>
    <w:p w14:paraId="109101C3" w14:textId="77777777" w:rsidR="00D24A4B" w:rsidRDefault="00D24A4B" w:rsidP="00D24A4B">
      <w:pPr>
        <w:pStyle w:val="Bullet1Double"/>
        <w:numPr>
          <w:ilvl w:val="0"/>
          <w:numId w:val="9"/>
        </w:numPr>
        <w:tabs>
          <w:tab w:val="clear" w:pos="0"/>
        </w:tabs>
        <w:ind w:left="360" w:hanging="360"/>
      </w:pPr>
      <w:r>
        <w:t>An ongoing information security awareness program keeps employees informed of new or escalated threats.</w:t>
      </w:r>
    </w:p>
    <w:p w14:paraId="25FD6065" w14:textId="77777777" w:rsidR="00D24A4B" w:rsidRDefault="00D24A4B" w:rsidP="00D24A4B">
      <w:pPr>
        <w:pStyle w:val="Bullet1Double"/>
        <w:numPr>
          <w:ilvl w:val="0"/>
          <w:numId w:val="9"/>
        </w:numPr>
        <w:tabs>
          <w:tab w:val="clear" w:pos="0"/>
        </w:tabs>
        <w:ind w:left="360" w:hanging="360"/>
      </w:pPr>
      <w:r>
        <w:t>A formal disciplinary process for security breaches is in place and is consistently enforced.</w:t>
      </w:r>
    </w:p>
    <w:p w14:paraId="0467D245" w14:textId="77777777" w:rsidR="00D24A4B" w:rsidRPr="00371EA9" w:rsidRDefault="00D24A4B" w:rsidP="00D24A4B">
      <w:pPr>
        <w:pStyle w:val="Bullet1Double"/>
        <w:numPr>
          <w:ilvl w:val="0"/>
          <w:numId w:val="9"/>
        </w:numPr>
        <w:tabs>
          <w:tab w:val="clear" w:pos="0"/>
        </w:tabs>
        <w:ind w:left="360" w:hanging="360"/>
      </w:pPr>
      <w:r>
        <w:lastRenderedPageBreak/>
        <w:t>Employee termination and role changes are conducted in a controlled and secure manner.</w:t>
      </w:r>
    </w:p>
    <w:p w14:paraId="1DFA50CC" w14:textId="77777777" w:rsidR="00D24A4B" w:rsidRDefault="00D24A4B" w:rsidP="00D24A4B">
      <w:pPr>
        <w:pStyle w:val="Bullet1Double0"/>
        <w:shd w:val="clear" w:color="auto" w:fill="DBDCDD"/>
        <w:ind w:left="720" w:hanging="720"/>
      </w:pPr>
      <w:r>
        <w:t>8.6.12</w:t>
      </w:r>
      <w:r>
        <w:tab/>
        <w:t>Describe the security measures and standards (i.e. NIST) which the Offeror has in place to secure the confidentiality of data at rest and in transit.</w:t>
      </w:r>
    </w:p>
    <w:p w14:paraId="26FA70A3" w14:textId="77777777" w:rsidR="00D24A4B" w:rsidRDefault="00D24A4B" w:rsidP="00D24A4B">
      <w:pPr>
        <w:pStyle w:val="Response"/>
      </w:pPr>
      <w:r>
        <w:t>Response:</w:t>
      </w:r>
    </w:p>
    <w:p w14:paraId="70BFDE7A" w14:textId="77777777" w:rsidR="00D24A4B" w:rsidRDefault="00D24A4B" w:rsidP="00D24A4B">
      <w:pPr>
        <w:pStyle w:val="BodyText"/>
      </w:pPr>
      <w:r w:rsidRPr="003E072A">
        <w:t>HPE GreenLake Flex Capacity Packages are on premise, installed at a Purchasing Entity’s own site. The advantage of an On-Site, Private Cloud is that the Purchasing Entity has complete control over the environment and use of the system. The Purchasing Entity’s data will not be transmitted from the On-Site Private Cloud. Encryption at rest may be implemented by the Purchasing Entity as appropriate.</w:t>
      </w:r>
    </w:p>
    <w:p w14:paraId="0BC6D02E" w14:textId="77777777" w:rsidR="00D24A4B" w:rsidRDefault="00D24A4B" w:rsidP="00D24A4B">
      <w:pPr>
        <w:pStyle w:val="BodyText"/>
      </w:pPr>
      <w:r w:rsidRPr="00D11795">
        <w:t>HPE includes its Data Processing and Security terms in Section 8, Supplementary Terms – Exhibit M, contained in this bid response for the State’s reference.</w:t>
      </w:r>
    </w:p>
    <w:p w14:paraId="652D30E0" w14:textId="77777777" w:rsidR="00D24A4B" w:rsidRPr="00371EA9" w:rsidRDefault="00D24A4B" w:rsidP="00D24A4B">
      <w:pPr>
        <w:pStyle w:val="BodyText"/>
      </w:pPr>
      <w:r>
        <w:t xml:space="preserve">For hybrid and public cloud (IaaS, PaaS, and SaaS), </w:t>
      </w:r>
      <w:r w:rsidRPr="000C5B8C">
        <w:t>Microsoft Azure Stack can be now integrated with Azure Government. Azure Stack has been assessed for FedRAMP Moderate (and offer security controls to comply with the requirements). </w:t>
      </w:r>
    </w:p>
    <w:p w14:paraId="11B8FC1C" w14:textId="77777777" w:rsidR="00D24A4B" w:rsidRDefault="00D24A4B" w:rsidP="00D24A4B">
      <w:pPr>
        <w:pStyle w:val="Bullet1Double0"/>
        <w:shd w:val="clear" w:color="auto" w:fill="DBDCDD"/>
        <w:ind w:left="720" w:hanging="720"/>
      </w:pPr>
      <w:r>
        <w:t>8.6.13</w:t>
      </w:r>
      <w:r>
        <w:tab/>
        <w:t>Describe policies and procedures regarding notification to both the State and the Cardholders of a data breach, as defined in this RFP, and the mitigation of such a breach.</w:t>
      </w:r>
    </w:p>
    <w:p w14:paraId="00AC85E2" w14:textId="77777777" w:rsidR="00D24A4B" w:rsidRDefault="00D24A4B" w:rsidP="00D24A4B">
      <w:pPr>
        <w:pStyle w:val="Response"/>
      </w:pPr>
      <w:r>
        <w:t>Response:</w:t>
      </w:r>
    </w:p>
    <w:p w14:paraId="7598DC0E" w14:textId="47A8273E" w:rsidR="00D24A4B" w:rsidRDefault="00D24A4B" w:rsidP="00D24A4B">
      <w:pPr>
        <w:pStyle w:val="BodyText"/>
      </w:pPr>
      <w:r w:rsidRPr="00446D4B">
        <w:t xml:space="preserve">HPE </w:t>
      </w:r>
      <w:r w:rsidRPr="00161039">
        <w:t>GreenLake Flex Capacity Packages are</w:t>
      </w:r>
      <w:r>
        <w:t xml:space="preserve"> on </w:t>
      </w:r>
      <w:r w:rsidRPr="00446D4B">
        <w:t>premise, installed at a Purchasing Entity’s own site</w:t>
      </w:r>
      <w:r>
        <w:t xml:space="preserve">. </w:t>
      </w:r>
      <w:r w:rsidRPr="00446D4B">
        <w:t>The advantage of an On-Site, Private Cloud is that the Purchasing Entity has complete control over the environment and use of the system.</w:t>
      </w:r>
      <w:r>
        <w:t xml:space="preserve"> </w:t>
      </w:r>
      <w:r w:rsidRPr="00161039">
        <w:t>HPE Pointnext Security Portfolio offer the Purchasing Entity a vast option</w:t>
      </w:r>
      <w:r>
        <w:t xml:space="preserve"> of </w:t>
      </w:r>
      <w:r w:rsidRPr="00091A02">
        <w:t xml:space="preserve">services see Figure </w:t>
      </w:r>
      <w:r>
        <w:t>2</w:t>
      </w:r>
      <w:r w:rsidR="00092841">
        <w:t>1</w:t>
      </w:r>
      <w:r w:rsidRPr="00091A02">
        <w:t>.</w:t>
      </w:r>
    </w:p>
    <w:p w14:paraId="043F04B2" w14:textId="77777777" w:rsidR="00D24A4B" w:rsidRPr="00371EA9" w:rsidRDefault="00D24A4B" w:rsidP="00D24A4B">
      <w:pPr>
        <w:pStyle w:val="BodyText"/>
      </w:pPr>
      <w:r w:rsidRPr="00D11795">
        <w:t>HPE includes its Data Processing and Security terms in Section 8, Supplementary Terms – Exhibit M, contained in this bid response for the State’s reference.</w:t>
      </w:r>
    </w:p>
    <w:p w14:paraId="00A3C635" w14:textId="77777777" w:rsidR="00D24A4B" w:rsidRDefault="00D24A4B" w:rsidP="00D24A4B">
      <w:pPr>
        <w:pStyle w:val="Heading30"/>
      </w:pPr>
      <w:bookmarkStart w:id="33" w:name="_Toc514418394"/>
      <w:bookmarkStart w:id="34" w:name="_Toc518548594"/>
      <w:r>
        <w:t>8.7</w:t>
      </w:r>
      <w:r>
        <w:tab/>
        <w:t>(E) Migration and Redeployment Plan</w:t>
      </w:r>
      <w:bookmarkEnd w:id="33"/>
      <w:bookmarkEnd w:id="34"/>
    </w:p>
    <w:p w14:paraId="25F792CE" w14:textId="77777777" w:rsidR="00D24A4B" w:rsidRPr="006873D0" w:rsidRDefault="00D24A4B" w:rsidP="00D24A4B">
      <w:pPr>
        <w:shd w:val="clear" w:color="auto" w:fill="E2EFD9" w:themeFill="accent6" w:themeFillTint="33"/>
        <w:spacing w:after="160" w:line="259" w:lineRule="auto"/>
        <w:rPr>
          <w:rFonts w:ascii="Arial" w:eastAsia="PMingLiU" w:hAnsi="Arial" w:cs="Times New Roman"/>
          <w:szCs w:val="20"/>
          <w:lang w:val="en-GB"/>
        </w:rPr>
      </w:pPr>
      <w:r w:rsidRPr="00091A02">
        <w:rPr>
          <w:rFonts w:ascii="Arial" w:eastAsia="PMingLiU" w:hAnsi="Arial" w:cs="Times New Roman"/>
          <w:szCs w:val="20"/>
          <w:lang w:val="en-GB"/>
        </w:rPr>
        <w:t>HPE Hybrid Cloud solution is a fully integrated system that delivers Azure compatible, software defined Infrastructure-as-a-Service (IaaS), Platform-as-a-Service (PaaS) on HPE hardware and Software-as-a-Service (SaaS) on Microsoft’ Azure public cloud</w:t>
      </w:r>
      <w:r>
        <w:rPr>
          <w:rFonts w:ascii="Arial" w:eastAsia="PMingLiU" w:hAnsi="Arial" w:cs="Times New Roman"/>
          <w:szCs w:val="20"/>
          <w:lang w:val="en-GB"/>
        </w:rPr>
        <w:t>.  This</w:t>
      </w:r>
      <w:r w:rsidRPr="00091A02">
        <w:rPr>
          <w:rFonts w:ascii="Arial" w:eastAsia="PMingLiU" w:hAnsi="Arial" w:cs="Times New Roman"/>
          <w:szCs w:val="20"/>
          <w:lang w:val="en-GB"/>
        </w:rPr>
        <w:t xml:space="preserve"> is a superior offering for Purchasing Entity</w:t>
      </w:r>
      <w:r>
        <w:rPr>
          <w:rFonts w:ascii="Arial" w:eastAsia="PMingLiU" w:hAnsi="Arial" w:cs="Times New Roman"/>
          <w:szCs w:val="20"/>
          <w:lang w:val="en-GB"/>
        </w:rPr>
        <w:t xml:space="preserve"> because:</w:t>
      </w:r>
    </w:p>
    <w:p w14:paraId="25C7C17B" w14:textId="3BBD04D6" w:rsidR="00D24A4B" w:rsidRPr="006873D0" w:rsidRDefault="00092841"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092841">
        <w:rPr>
          <w:rFonts w:ascii="Arial" w:eastAsia="Times New Roman" w:hAnsi="Arial" w:cs="Arial"/>
        </w:rPr>
        <w:t>HPE will work with the Purchasing Entity to establish an effective date of termination which allows for the flexibility of including value added services to perform some or all of the transition activities necessary, customized to meet the requirements of any particular purchasing entity.</w:t>
      </w:r>
    </w:p>
    <w:p w14:paraId="7B564616" w14:textId="77777777" w:rsidR="00D24A4B" w:rsidRDefault="00D24A4B" w:rsidP="00D24A4B">
      <w:pPr>
        <w:pStyle w:val="Bullet1Double0"/>
        <w:ind w:left="720" w:hanging="720"/>
      </w:pPr>
      <w:r>
        <w:t>8.7.1</w:t>
      </w:r>
      <w:r>
        <w:tab/>
      </w:r>
      <w:r w:rsidRPr="001F2DC3">
        <w:rPr>
          <w:shd w:val="clear" w:color="auto" w:fill="DBDCDD"/>
        </w:rPr>
        <w:t>Offeror must describe how it manages the end of life activities of closing down a service to a Purchasing Entity and safely deprovisioning it before the Offeror is no longer contractually obligated to maintain the service, include planned and unplanned activities. An Offeror’s response should include detail on how an Offeror maintains security of the data during this phase of an SLA, if the Offeror provides</w:t>
      </w:r>
      <w:r>
        <w:t xml:space="preserve"> for redundancy during migration, and how portable the data is during migration.</w:t>
      </w:r>
    </w:p>
    <w:p w14:paraId="37CBBD9B" w14:textId="77777777" w:rsidR="00D24A4B" w:rsidRDefault="00D24A4B" w:rsidP="00D24A4B">
      <w:pPr>
        <w:pStyle w:val="Response"/>
      </w:pPr>
      <w:r>
        <w:t>Response:</w:t>
      </w:r>
    </w:p>
    <w:p w14:paraId="1E35AC11" w14:textId="56DEDB62" w:rsidR="00D24A4B" w:rsidRDefault="00092841" w:rsidP="00D24A4B">
      <w:pPr>
        <w:pStyle w:val="BodyText"/>
      </w:pPr>
      <w:r w:rsidRPr="00092841">
        <w:t xml:space="preserve">The HPE GreenLake ProLiant for Microsoft Azure Stack Private Cloud is installed at the Purchasing Entity site and while the default package has the Purchasing Entity responsible for migration of data, these entities can also contract with HPE to perform these services </w:t>
      </w:r>
      <w:r w:rsidRPr="00092841">
        <w:lastRenderedPageBreak/>
        <w:t>via the Value Added Services offered under the NASPO contract. Under HPE’s Greenlake offerings, beginning ninety (90) days before a System Term or Order is scheduled to expire, the Parties will:</w:t>
      </w:r>
    </w:p>
    <w:p w14:paraId="0C16C9F7" w14:textId="77777777" w:rsidR="00D24A4B" w:rsidRDefault="00D24A4B" w:rsidP="00D24A4B">
      <w:pPr>
        <w:pStyle w:val="Bullet1Double"/>
        <w:numPr>
          <w:ilvl w:val="0"/>
          <w:numId w:val="9"/>
        </w:numPr>
        <w:tabs>
          <w:tab w:val="clear" w:pos="0"/>
        </w:tabs>
        <w:ind w:left="360" w:hanging="360"/>
      </w:pPr>
      <w:r>
        <w:t>Establish an effective date of the System Term expiration or termination. Upon the expiration of the accompanying Statement of Work or any System(s) Term for any reason, HPE shall have the right to immediately de-install and remove the applicable Systems from Customer locations. Customer is responsible for removal or deletion of all data or Customer-provided software or applications on Systems, and will ensure prompt removal or deletion of such prior to removal by HPE.</w:t>
      </w:r>
    </w:p>
    <w:p w14:paraId="614ECEA3" w14:textId="77777777" w:rsidR="00D24A4B" w:rsidRDefault="00D24A4B" w:rsidP="00D24A4B">
      <w:pPr>
        <w:pStyle w:val="Bullet1Double"/>
        <w:numPr>
          <w:ilvl w:val="0"/>
          <w:numId w:val="9"/>
        </w:numPr>
        <w:tabs>
          <w:tab w:val="clear" w:pos="0"/>
        </w:tabs>
        <w:ind w:left="360" w:hanging="360"/>
      </w:pPr>
      <w:r>
        <w:t xml:space="preserve">Customer Obligations: Upon expiration, customer will be responsible for any de-installation charges associated with return of the System(s). In addition, Customer at its own risk and expense, shall pack the System(s) in accordance with HPE’s specifications, and shall return them within fifteen (15) calendar days of expiration of the System Schedule(s), or other such period as may be mutually agreed in the same condition as when delivered (including Customer’s removal and deletion of all data contained in all such System(s), ordinary wear and tear excepted, freight prepaid and insured to the location provided by HPE. </w:t>
      </w:r>
    </w:p>
    <w:p w14:paraId="275A2F1D" w14:textId="77777777" w:rsidR="00D24A4B" w:rsidRPr="001F2DC3" w:rsidRDefault="00D24A4B" w:rsidP="00D24A4B">
      <w:pPr>
        <w:pStyle w:val="Bullet1Double"/>
        <w:numPr>
          <w:ilvl w:val="0"/>
          <w:numId w:val="9"/>
        </w:numPr>
        <w:tabs>
          <w:tab w:val="clear" w:pos="0"/>
        </w:tabs>
        <w:ind w:left="360" w:hanging="360"/>
      </w:pPr>
      <w:r>
        <w:t>Transition Out Services. In the event of expiration of the Statement of Work or a System Term, the parties will discuss and agree upon a transition plan, as may be required. If transition services are required, they may be provided by HPE at HPE’s then current professional services time and materials rates. Customer is responsible for prompt removal or deletion of all data or other customer-provided software or applications contained on Systems, and will ensure such removal and/or deletion prior to removal of the System(s) by HPE.</w:t>
      </w:r>
    </w:p>
    <w:p w14:paraId="49CE3497" w14:textId="77777777" w:rsidR="00D24A4B" w:rsidRDefault="00D24A4B" w:rsidP="00D24A4B">
      <w:pPr>
        <w:pStyle w:val="Bullet1Double0"/>
        <w:shd w:val="clear" w:color="auto" w:fill="DBDCDD"/>
        <w:ind w:left="720" w:hanging="720"/>
      </w:pPr>
      <w:r>
        <w:t>8.7.2</w:t>
      </w:r>
      <w:r>
        <w:tab/>
        <w:t>Offeror must describe how it intends to provide an orderly return of data back to the Purchasing Entity, include any description in your SLA that describes the return of data to a customer.</w:t>
      </w:r>
    </w:p>
    <w:p w14:paraId="06C46285" w14:textId="77777777" w:rsidR="00D24A4B" w:rsidRDefault="00D24A4B" w:rsidP="00D24A4B">
      <w:pPr>
        <w:pStyle w:val="Response"/>
      </w:pPr>
      <w:r>
        <w:t>Response:</w:t>
      </w:r>
    </w:p>
    <w:p w14:paraId="37043DBE" w14:textId="77777777" w:rsidR="00D24A4B" w:rsidRDefault="00D24A4B" w:rsidP="00D24A4B">
      <w:pPr>
        <w:pStyle w:val="BodyText"/>
      </w:pPr>
      <w:r w:rsidRPr="00DE5AA2">
        <w:t xml:space="preserve">The HPE </w:t>
      </w:r>
      <w:r>
        <w:t>GreenLake Flex Capacity Packages are</w:t>
      </w:r>
      <w:r w:rsidRPr="00DE5AA2">
        <w:t xml:space="preserve"> installed at the Purchasing Entity site and becomes the Purchasing Entity client’s responsibility for the orderly return of data back to the Purchasing entity</w:t>
      </w:r>
      <w:r>
        <w:t xml:space="preserve">. </w:t>
      </w:r>
    </w:p>
    <w:p w14:paraId="38C1690E" w14:textId="4A9735EB" w:rsidR="00D24A4B" w:rsidRPr="001F2DC3" w:rsidRDefault="00092841" w:rsidP="00D24A4B">
      <w:pPr>
        <w:pStyle w:val="BodyText"/>
      </w:pPr>
      <w:r w:rsidRPr="00092841">
        <w:t>HPE offers data migration services to assist with moving the customer’s data from the System to another solution, de-install services and redeployment services, on an as needed basis for each purchasing entities unique requirements, as a Value Add Service, when needed.</w:t>
      </w:r>
    </w:p>
    <w:p w14:paraId="6EE81F6A" w14:textId="77777777" w:rsidR="00D24A4B" w:rsidRDefault="00D24A4B" w:rsidP="00D24A4B">
      <w:pPr>
        <w:pStyle w:val="Heading30"/>
      </w:pPr>
      <w:bookmarkStart w:id="35" w:name="_Toc514418395"/>
      <w:bookmarkStart w:id="36" w:name="_Toc518548595"/>
      <w:r>
        <w:t>8.8</w:t>
      </w:r>
      <w:r>
        <w:tab/>
        <w:t>(E) Service or Data Recovery</w:t>
      </w:r>
      <w:bookmarkEnd w:id="35"/>
      <w:bookmarkEnd w:id="36"/>
    </w:p>
    <w:p w14:paraId="5A0A23D6" w14:textId="77777777" w:rsidR="00D24A4B" w:rsidRPr="006873D0" w:rsidRDefault="00D24A4B" w:rsidP="00D24A4B">
      <w:pPr>
        <w:shd w:val="clear" w:color="auto" w:fill="E2EFD9" w:themeFill="accent6" w:themeFillTint="33"/>
        <w:spacing w:after="160" w:line="259" w:lineRule="auto"/>
        <w:rPr>
          <w:rFonts w:ascii="Arial" w:eastAsia="PMingLiU" w:hAnsi="Arial" w:cs="Times New Roman"/>
          <w:szCs w:val="20"/>
          <w:lang w:val="en-GB"/>
        </w:rPr>
      </w:pPr>
      <w:r w:rsidRPr="001D661F">
        <w:rPr>
          <w:rFonts w:ascii="Arial" w:eastAsia="PMingLiU" w:hAnsi="Arial" w:cs="Times New Roman"/>
          <w:szCs w:val="20"/>
          <w:lang w:val="en-GB"/>
        </w:rPr>
        <w:t>HPE Hybrid Cloud solution is a fully integrated system that delivers Azure compatible, software defined Infrastructure-as-a-Service (IaaS), Platform-as-a-Service (PaaS) on HPE hardware and Software-as-a-Service (SaaS) on Microsoft’ Azure public cloud</w:t>
      </w:r>
      <w:r>
        <w:rPr>
          <w:rFonts w:ascii="Arial" w:eastAsia="PMingLiU" w:hAnsi="Arial" w:cs="Times New Roman"/>
          <w:szCs w:val="20"/>
          <w:lang w:val="en-GB"/>
        </w:rPr>
        <w:t>.  This</w:t>
      </w:r>
      <w:r w:rsidRPr="001D661F">
        <w:rPr>
          <w:rFonts w:ascii="Arial" w:eastAsia="PMingLiU" w:hAnsi="Arial" w:cs="Times New Roman"/>
          <w:szCs w:val="20"/>
          <w:lang w:val="en-GB"/>
        </w:rPr>
        <w:t xml:space="preserve"> is a superior offering for Purchasing Entity</w:t>
      </w:r>
      <w:r>
        <w:rPr>
          <w:rFonts w:ascii="Arial" w:eastAsia="PMingLiU" w:hAnsi="Arial" w:cs="Times New Roman"/>
          <w:szCs w:val="20"/>
          <w:lang w:val="en-GB"/>
        </w:rPr>
        <w:t xml:space="preserve"> because</w:t>
      </w:r>
      <w:r w:rsidRPr="006873D0">
        <w:rPr>
          <w:rFonts w:ascii="Arial" w:eastAsia="PMingLiU" w:hAnsi="Arial" w:cs="Times New Roman"/>
          <w:szCs w:val="20"/>
          <w:lang w:val="en-GB"/>
        </w:rPr>
        <w:t>:</w:t>
      </w:r>
    </w:p>
    <w:p w14:paraId="520DAC2C" w14:textId="77777777" w:rsidR="00D24A4B" w:rsidRPr="006873D0"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D87B29">
        <w:rPr>
          <w:rFonts w:ascii="Arial" w:eastAsia="PMingLiU" w:hAnsi="Arial" w:cs="Times New Roman"/>
          <w:szCs w:val="20"/>
        </w:rPr>
        <w:lastRenderedPageBreak/>
        <w:t>HPE</w:t>
      </w:r>
      <w:r>
        <w:rPr>
          <w:rFonts w:ascii="Arial" w:eastAsia="PMingLiU" w:hAnsi="Arial" w:cs="Times New Roman"/>
          <w:szCs w:val="20"/>
        </w:rPr>
        <w:t>’s</w:t>
      </w:r>
      <w:r w:rsidRPr="00D87B29">
        <w:rPr>
          <w:rFonts w:ascii="Arial" w:eastAsia="PMingLiU" w:hAnsi="Arial" w:cs="Times New Roman"/>
          <w:szCs w:val="20"/>
        </w:rPr>
        <w:t xml:space="preserve"> support specialist is specialized in business recovery</w:t>
      </w:r>
    </w:p>
    <w:p w14:paraId="7192EF3F" w14:textId="77777777" w:rsidR="00D24A4B" w:rsidRPr="006873D0"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D87B29">
        <w:rPr>
          <w:rFonts w:ascii="Arial" w:eastAsia="PMingLiU" w:hAnsi="Arial" w:cs="Times New Roman"/>
          <w:szCs w:val="20"/>
        </w:rPr>
        <w:t xml:space="preserve">Purchasing Entity </w:t>
      </w:r>
      <w:r>
        <w:rPr>
          <w:rFonts w:ascii="Arial" w:eastAsia="PMingLiU" w:hAnsi="Arial" w:cs="Times New Roman"/>
          <w:szCs w:val="20"/>
        </w:rPr>
        <w:t xml:space="preserve">has </w:t>
      </w:r>
      <w:r w:rsidRPr="00D87B29">
        <w:rPr>
          <w:rFonts w:ascii="Arial" w:eastAsia="PMingLiU" w:hAnsi="Arial" w:cs="Times New Roman"/>
          <w:szCs w:val="20"/>
        </w:rPr>
        <w:t>access to a dedicated HPE phone number; 24 hours per day, 7 days per week</w:t>
      </w:r>
    </w:p>
    <w:p w14:paraId="2CF126DE" w14:textId="77777777" w:rsidR="00D24A4B" w:rsidRPr="006873D0"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D87B29">
        <w:rPr>
          <w:rFonts w:ascii="Arial" w:eastAsia="PMingLiU" w:hAnsi="Arial" w:cs="Times New Roman"/>
          <w:szCs w:val="20"/>
        </w:rPr>
        <w:t>HPE can provide the GreenLake Backup</w:t>
      </w:r>
    </w:p>
    <w:p w14:paraId="3A6CEA8A" w14:textId="77777777" w:rsidR="00D24A4B" w:rsidRPr="00E6414A"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D87B29">
        <w:rPr>
          <w:rFonts w:ascii="Arial" w:eastAsia="PMingLiU" w:hAnsi="Arial" w:cs="Times New Roman"/>
          <w:szCs w:val="20"/>
        </w:rPr>
        <w:t>HPE will assign a Critical Event Manager</w:t>
      </w:r>
    </w:p>
    <w:p w14:paraId="7F6E8C71" w14:textId="77777777" w:rsidR="00D24A4B" w:rsidRDefault="00D24A4B" w:rsidP="00D24A4B">
      <w:pPr>
        <w:pStyle w:val="Bullet1Double0"/>
        <w:ind w:left="720" w:hanging="720"/>
      </w:pPr>
      <w:r>
        <w:t>8.8.1</w:t>
      </w:r>
      <w:r>
        <w:tab/>
        <w:t>Describe how you would respond to the following situations; include any contingency plan or policy.</w:t>
      </w:r>
    </w:p>
    <w:p w14:paraId="4F0EC2DC" w14:textId="77777777" w:rsidR="00D24A4B" w:rsidRPr="006873D0" w:rsidRDefault="00D24A4B" w:rsidP="00D24A4B">
      <w:pPr>
        <w:pStyle w:val="Bullet2Double0"/>
      </w:pPr>
      <w:r>
        <w:t>a.</w:t>
      </w:r>
      <w:r>
        <w:tab/>
        <w:t>Extended downtime.</w:t>
      </w:r>
    </w:p>
    <w:p w14:paraId="04565CD9" w14:textId="77777777" w:rsidR="00D24A4B" w:rsidRDefault="00D24A4B" w:rsidP="00D24A4B">
      <w:pPr>
        <w:pStyle w:val="Response"/>
      </w:pPr>
      <w:r>
        <w:t>Response:</w:t>
      </w:r>
    </w:p>
    <w:p w14:paraId="0034AC08" w14:textId="77777777" w:rsidR="00D24A4B" w:rsidRDefault="00D24A4B" w:rsidP="00D24A4B">
      <w:pPr>
        <w:pStyle w:val="Numbers1Double"/>
      </w:pPr>
      <w:r>
        <w:t>a.</w:t>
      </w:r>
      <w:r>
        <w:tab/>
        <w:t xml:space="preserve">HPE will provide Purchasing Entity access to a dedicated HPE phone number; 24 hours per day, 7 days per week. When a critical hardware or related software incident occurs (Severity 1 or 2), Purchasing Entity will be connected to a remote technical HPE support specialist within the HPE Global Mission Critical Support Center. HPE will provide continuous effort and escalation management resources until the critical event is resolved. </w:t>
      </w:r>
    </w:p>
    <w:p w14:paraId="7FB84F0C" w14:textId="77777777" w:rsidR="00D24A4B" w:rsidRDefault="00D24A4B" w:rsidP="00D24A4B">
      <w:pPr>
        <w:pStyle w:val="Bullet2Double0"/>
      </w:pPr>
      <w:r>
        <w:t>b.</w:t>
      </w:r>
      <w:r>
        <w:tab/>
        <w:t>Suffers an unrecoverable loss of data.</w:t>
      </w:r>
    </w:p>
    <w:p w14:paraId="5CBD7CA4" w14:textId="77777777" w:rsidR="00D24A4B" w:rsidRDefault="00D24A4B" w:rsidP="00D24A4B">
      <w:pPr>
        <w:pStyle w:val="Response"/>
      </w:pPr>
      <w:r>
        <w:t>Response:</w:t>
      </w:r>
    </w:p>
    <w:p w14:paraId="6C637C69" w14:textId="77777777" w:rsidR="00D24A4B" w:rsidRDefault="00D24A4B" w:rsidP="00D24A4B">
      <w:pPr>
        <w:pStyle w:val="Numbers1Double"/>
      </w:pPr>
      <w:r>
        <w:t>b.</w:t>
      </w:r>
      <w:r>
        <w:tab/>
        <w:t xml:space="preserve">The HPE support specialist is specialized in business recovery in complex computing environments and will have access to information about the Purchasing Entity’s IT environment, systems, and specific support requirements. HPE offers optional remote managed services to assist with data backup operations for the on premise environment so backup restore is available if catastrophic data loss is experienced. </w:t>
      </w:r>
    </w:p>
    <w:p w14:paraId="3FA8CA5F" w14:textId="77777777" w:rsidR="00D24A4B" w:rsidRDefault="00D24A4B" w:rsidP="00D24A4B">
      <w:pPr>
        <w:pStyle w:val="Bullet2Double0"/>
      </w:pPr>
      <w:r>
        <w:t>c.</w:t>
      </w:r>
      <w:r>
        <w:tab/>
        <w:t>Offeror experiences a system failure.</w:t>
      </w:r>
    </w:p>
    <w:p w14:paraId="49686CA9" w14:textId="77777777" w:rsidR="00D24A4B" w:rsidRDefault="00D24A4B" w:rsidP="00D24A4B">
      <w:pPr>
        <w:pStyle w:val="Response"/>
      </w:pPr>
      <w:r>
        <w:t>Response:</w:t>
      </w:r>
    </w:p>
    <w:p w14:paraId="461D7A8B" w14:textId="77777777" w:rsidR="00D24A4B" w:rsidRDefault="00D24A4B" w:rsidP="00D24A4B">
      <w:pPr>
        <w:pStyle w:val="Numbers1Double"/>
      </w:pPr>
      <w:r>
        <w:t>c.</w:t>
      </w:r>
      <w:r>
        <w:tab/>
        <w:t>In the event of a system failure that may require an onsite presence, an HPE hardware specialist will be dispatched to equipment location, in accordance with the hardware reactive service level of the affected device. Additionally, the HPE support specialist will perform failure data collection and incident definition. If necessary, the HPE support specialist will execute escalation procedures and engage additional technical specialists.</w:t>
      </w:r>
    </w:p>
    <w:p w14:paraId="73F2F697" w14:textId="77777777" w:rsidR="00D24A4B" w:rsidRDefault="00D24A4B" w:rsidP="00D24A4B">
      <w:pPr>
        <w:pStyle w:val="Bullet2Double0"/>
      </w:pPr>
      <w:r>
        <w:t>d.</w:t>
      </w:r>
      <w:r>
        <w:tab/>
        <w:t xml:space="preserve">Ability to recover and restore data within 4 business hours in the event of a severe system outage. </w:t>
      </w:r>
    </w:p>
    <w:p w14:paraId="4AEB05BA" w14:textId="77777777" w:rsidR="00D24A4B" w:rsidRDefault="00D24A4B" w:rsidP="00D24A4B">
      <w:pPr>
        <w:pStyle w:val="Response"/>
      </w:pPr>
      <w:r>
        <w:t>Response:</w:t>
      </w:r>
    </w:p>
    <w:p w14:paraId="3547889D" w14:textId="77777777" w:rsidR="00D24A4B" w:rsidRDefault="00D24A4B" w:rsidP="00D24A4B">
      <w:pPr>
        <w:pStyle w:val="Numbers1Double"/>
      </w:pPr>
      <w:r>
        <w:t>d.</w:t>
      </w:r>
      <w:r>
        <w:tab/>
        <w:t xml:space="preserve">The HPE GreenLake Flex Capacity Packages are installed at the Purchasing Entity site and becomes the Purchasing Entity client’s responsibility for data recovery. The on premise environment can be designed for failover recovery or data replication to meet defined high availability requirements. </w:t>
      </w:r>
    </w:p>
    <w:p w14:paraId="1450B2EC" w14:textId="77777777" w:rsidR="00D24A4B" w:rsidRDefault="00D24A4B" w:rsidP="00D24A4B">
      <w:pPr>
        <w:pStyle w:val="Response"/>
      </w:pPr>
      <w:r>
        <w:t>Response:</w:t>
      </w:r>
    </w:p>
    <w:p w14:paraId="76ECD0F0" w14:textId="77777777" w:rsidR="00D24A4B" w:rsidRDefault="00D24A4B" w:rsidP="00D24A4B">
      <w:pPr>
        <w:pStyle w:val="Bullet2Double0"/>
      </w:pPr>
      <w:r>
        <w:t>e.</w:t>
      </w:r>
      <w:r>
        <w:tab/>
        <w:t>Describe your Recovery Point Objective (RPO) and Recovery Time Objective (RTO).</w:t>
      </w:r>
    </w:p>
    <w:p w14:paraId="761872C8" w14:textId="77777777" w:rsidR="00D24A4B" w:rsidRDefault="00D24A4B" w:rsidP="00D24A4B">
      <w:pPr>
        <w:pStyle w:val="Response"/>
      </w:pPr>
      <w:r>
        <w:lastRenderedPageBreak/>
        <w:t>Response:</w:t>
      </w:r>
    </w:p>
    <w:p w14:paraId="22F85C91" w14:textId="77777777" w:rsidR="00D24A4B" w:rsidRDefault="00D24A4B" w:rsidP="00D24A4B">
      <w:pPr>
        <w:pStyle w:val="Numbers1Double"/>
      </w:pPr>
      <w:r>
        <w:t>e.</w:t>
      </w:r>
      <w:r>
        <w:tab/>
        <w:t xml:space="preserve">RPO and RTO would need to be defined by the Purchasing Entity since this is a private on premise cloud solution. High availability and failover recovery can be solutioned to minimize recovery times. HPE provides the following service recovery assistance: </w:t>
      </w:r>
    </w:p>
    <w:p w14:paraId="2D03EE89" w14:textId="77777777" w:rsidR="00D24A4B" w:rsidRDefault="00D24A4B" w:rsidP="00D24A4B">
      <w:pPr>
        <w:pStyle w:val="TableCaptionAuto"/>
      </w:pPr>
      <w:r>
        <w:t>HPE Escalation Plan</w:t>
      </w:r>
    </w:p>
    <w:tbl>
      <w:tblPr>
        <w:tblStyle w:val="TableGrid"/>
        <w:tblW w:w="8858" w:type="dxa"/>
        <w:tblInd w:w="14" w:type="dxa"/>
        <w:tblLayout w:type="fixed"/>
        <w:tblCellMar>
          <w:top w:w="43" w:type="dxa"/>
          <w:left w:w="43" w:type="dxa"/>
          <w:bottom w:w="43" w:type="dxa"/>
          <w:right w:w="43" w:type="dxa"/>
        </w:tblCellMar>
        <w:tblLook w:val="04A0" w:firstRow="1" w:lastRow="0" w:firstColumn="1" w:lastColumn="0" w:noHBand="0" w:noVBand="1"/>
      </w:tblPr>
      <w:tblGrid>
        <w:gridCol w:w="3401"/>
        <w:gridCol w:w="5457"/>
      </w:tblGrid>
      <w:tr w:rsidR="00D24A4B" w14:paraId="5CE92D83" w14:textId="77777777" w:rsidTr="00C66137">
        <w:trPr>
          <w:tblHeader/>
        </w:trPr>
        <w:tc>
          <w:tcPr>
            <w:tcW w:w="3401" w:type="dxa"/>
            <w:shd w:val="clear" w:color="auto" w:fill="00B388"/>
          </w:tcPr>
          <w:p w14:paraId="0AE2B8AB" w14:textId="77777777" w:rsidR="00D24A4B" w:rsidRDefault="00D24A4B" w:rsidP="00C66137">
            <w:pPr>
              <w:pStyle w:val="TableHeading10"/>
            </w:pPr>
            <w:r>
              <w:t>Critical Incidents (Severity 1 or 2)</w:t>
            </w:r>
          </w:p>
        </w:tc>
        <w:tc>
          <w:tcPr>
            <w:tcW w:w="5457" w:type="dxa"/>
            <w:shd w:val="clear" w:color="auto" w:fill="00B388"/>
          </w:tcPr>
          <w:p w14:paraId="36D322C2" w14:textId="77777777" w:rsidR="00D24A4B" w:rsidRDefault="00D24A4B" w:rsidP="00C66137">
            <w:pPr>
              <w:pStyle w:val="TableHeading10"/>
            </w:pPr>
            <w:r>
              <w:t>Severity 3 and 4 Hardware or Related Software Incidents</w:t>
            </w:r>
          </w:p>
        </w:tc>
      </w:tr>
      <w:tr w:rsidR="00D24A4B" w14:paraId="2CDC4D54" w14:textId="77777777" w:rsidTr="00C66137">
        <w:tc>
          <w:tcPr>
            <w:tcW w:w="3401" w:type="dxa"/>
          </w:tcPr>
          <w:p w14:paraId="7883EDE7" w14:textId="77777777" w:rsidR="00D24A4B" w:rsidRDefault="00D24A4B" w:rsidP="00C66137">
            <w:pPr>
              <w:pStyle w:val="TableText10Single"/>
            </w:pPr>
            <w:r w:rsidRPr="00FC2EBC">
              <w:t>HPE will assign a Critical Event Manager (CEM). The CEM will coordinate incident escalation and will enlist other HPE specialists if the situation requires additional resources and skills</w:t>
            </w:r>
          </w:p>
        </w:tc>
        <w:tc>
          <w:tcPr>
            <w:tcW w:w="5457" w:type="dxa"/>
          </w:tcPr>
          <w:p w14:paraId="784AA5A9" w14:textId="77777777" w:rsidR="00D24A4B" w:rsidRDefault="00D24A4B" w:rsidP="00C66137">
            <w:pPr>
              <w:pStyle w:val="TableText10Single"/>
            </w:pPr>
            <w:r>
              <w:t xml:space="preserve">Customer will report to HPE using one of three methods, which are available 24 hours per day, 7 days per week. </w:t>
            </w:r>
          </w:p>
          <w:p w14:paraId="62C23037" w14:textId="77777777" w:rsidR="00D24A4B" w:rsidRDefault="00D24A4B" w:rsidP="00D24A4B">
            <w:pPr>
              <w:pStyle w:val="TableText10Bullet1Double"/>
              <w:spacing w:line="240" w:lineRule="auto"/>
            </w:pPr>
            <w:r>
              <w:t xml:space="preserve">Dedicated HPE phone number </w:t>
            </w:r>
          </w:p>
          <w:p w14:paraId="4EC09681" w14:textId="77777777" w:rsidR="00D24A4B" w:rsidRDefault="00D24A4B" w:rsidP="00D24A4B">
            <w:pPr>
              <w:pStyle w:val="TableText10Bullet1Double"/>
              <w:spacing w:line="240" w:lineRule="auto"/>
            </w:pPr>
            <w:r>
              <w:t>HPE Electronic Remote Support, as a web-based submittal tool via the HPE Support Center</w:t>
            </w:r>
          </w:p>
          <w:p w14:paraId="4D5ABB9D" w14:textId="77777777" w:rsidR="00D24A4B" w:rsidRDefault="00D24A4B" w:rsidP="00D24A4B">
            <w:pPr>
              <w:pStyle w:val="TableText10Bullet1Double"/>
              <w:spacing w:line="240" w:lineRule="auto"/>
            </w:pPr>
            <w:r>
              <w:t>HPE Electronic Remote Support, as an automated equipment reporting event</w:t>
            </w:r>
          </w:p>
        </w:tc>
      </w:tr>
      <w:tr w:rsidR="00D24A4B" w14:paraId="3A5F2415" w14:textId="77777777" w:rsidTr="00C66137">
        <w:tc>
          <w:tcPr>
            <w:tcW w:w="3401" w:type="dxa"/>
          </w:tcPr>
          <w:p w14:paraId="1A8F5A72" w14:textId="77777777" w:rsidR="00D24A4B" w:rsidRDefault="00D24A4B" w:rsidP="00C66137">
            <w:pPr>
              <w:pStyle w:val="TableText10Single"/>
            </w:pPr>
          </w:p>
        </w:tc>
        <w:tc>
          <w:tcPr>
            <w:tcW w:w="5457" w:type="dxa"/>
          </w:tcPr>
          <w:p w14:paraId="088D9378" w14:textId="77777777" w:rsidR="00D24A4B" w:rsidRDefault="00D24A4B" w:rsidP="00C66137">
            <w:pPr>
              <w:pStyle w:val="TableText10Single"/>
            </w:pPr>
            <w:r w:rsidRPr="00FC2EBC">
              <w:t>HPE will acknowledge the receipt of the service request by logging the call, assigning a case ID, and communicating the case ID to Purchasing Entity. HPE will work during the hardware or software coverage window to isolate the problem and to remotely troubleshoot, remedy, and resolve the problem with Purchasing Entity.</w:t>
            </w:r>
          </w:p>
        </w:tc>
      </w:tr>
    </w:tbl>
    <w:p w14:paraId="6EF80A06" w14:textId="77777777" w:rsidR="00D24A4B" w:rsidRDefault="00D24A4B" w:rsidP="00D24A4B">
      <w:pPr>
        <w:pStyle w:val="BodySingle"/>
      </w:pPr>
    </w:p>
    <w:p w14:paraId="3CA58490" w14:textId="77777777" w:rsidR="00D24A4B" w:rsidRDefault="00D24A4B" w:rsidP="00D24A4B">
      <w:pPr>
        <w:pStyle w:val="Bullet1Double0"/>
      </w:pPr>
      <w:r>
        <w:t>8.8.2</w:t>
      </w:r>
      <w:r>
        <w:tab/>
        <w:t>Describe your methodologies for the following backup and restore services:</w:t>
      </w:r>
    </w:p>
    <w:p w14:paraId="34DB4FDF" w14:textId="77777777" w:rsidR="00D24A4B" w:rsidRDefault="00D24A4B" w:rsidP="00D24A4B">
      <w:pPr>
        <w:pStyle w:val="Bullet2Double0"/>
      </w:pPr>
      <w:r>
        <w:t xml:space="preserve">a. </w:t>
      </w:r>
      <w:r>
        <w:tab/>
        <w:t xml:space="preserve">Method of data backups </w:t>
      </w:r>
    </w:p>
    <w:p w14:paraId="5C93E365" w14:textId="77777777" w:rsidR="00D24A4B" w:rsidRDefault="00D24A4B" w:rsidP="00D24A4B">
      <w:pPr>
        <w:pStyle w:val="Response"/>
      </w:pPr>
      <w:r>
        <w:t>Response:</w:t>
      </w:r>
    </w:p>
    <w:p w14:paraId="30877B2D" w14:textId="77777777" w:rsidR="00D24A4B" w:rsidRDefault="00D24A4B" w:rsidP="00D24A4B">
      <w:pPr>
        <w:pStyle w:val="BodyText"/>
      </w:pPr>
      <w:r>
        <w:t xml:space="preserve">The HPE GreenLake Flex Capacity Packages are installed at the Purchasing Entity site and becomes the Purchasing Entity client’s responsibility for defining the data backup requirements and process to accomplish. HPE can provide the GreenLake Backup Private Cloud. The Purchasing Entity can also purchase the Managed VPC Backup Services and can choose one or more of the following services: a) file system level backups, b) database backups and c) compliance archive. </w:t>
      </w:r>
    </w:p>
    <w:p w14:paraId="588D2CE3" w14:textId="77777777" w:rsidR="00D24A4B" w:rsidRDefault="00D24A4B" w:rsidP="00D24A4B">
      <w:pPr>
        <w:pStyle w:val="BodyText"/>
      </w:pPr>
      <w:r>
        <w:t>Customers choosing the file system level backup and restore option for their HPE GreenLake Flex Capacity Packages will receive the following:</w:t>
      </w:r>
    </w:p>
    <w:p w14:paraId="3AFFDB81" w14:textId="77777777" w:rsidR="00D24A4B" w:rsidRDefault="00D24A4B" w:rsidP="00D24A4B">
      <w:pPr>
        <w:pStyle w:val="Numbers1Double"/>
      </w:pPr>
      <w:r>
        <w:t>1.</w:t>
      </w:r>
      <w:r>
        <w:tab/>
        <w:t>Incremental daily backups of Customer files (excluding databases) using on-site virtual storage technology;</w:t>
      </w:r>
    </w:p>
    <w:p w14:paraId="0494B1F1" w14:textId="77777777" w:rsidR="00D24A4B" w:rsidRDefault="00D24A4B" w:rsidP="00D24A4B">
      <w:pPr>
        <w:pStyle w:val="Numbers1Double"/>
      </w:pPr>
      <w:r>
        <w:t>2.</w:t>
      </w:r>
      <w:r>
        <w:tab/>
        <w:t xml:space="preserve">Weekly full backups of Customer files (excluding databases) using on-site virtual storage technology; </w:t>
      </w:r>
    </w:p>
    <w:p w14:paraId="577B285E" w14:textId="77777777" w:rsidR="00D24A4B" w:rsidRDefault="00D24A4B" w:rsidP="00D24A4B">
      <w:pPr>
        <w:pStyle w:val="Numbers1Double"/>
      </w:pPr>
      <w:r>
        <w:t>3.</w:t>
      </w:r>
      <w:r>
        <w:tab/>
        <w:t>Retention of on-site file backups for 15, 30 or 45 days; and</w:t>
      </w:r>
    </w:p>
    <w:p w14:paraId="2AC8725F" w14:textId="77777777" w:rsidR="00D24A4B" w:rsidRDefault="00D24A4B" w:rsidP="00D24A4B">
      <w:pPr>
        <w:pStyle w:val="Numbers1Double"/>
      </w:pPr>
      <w:r>
        <w:t>4.</w:t>
      </w:r>
      <w:r>
        <w:tab/>
        <w:t>Upon request, HPE can assist with the restoration of Customer’s files from on-site backups</w:t>
      </w:r>
    </w:p>
    <w:p w14:paraId="66D86048" w14:textId="77777777" w:rsidR="00D24A4B" w:rsidRDefault="00D24A4B" w:rsidP="00D24A4B">
      <w:pPr>
        <w:pStyle w:val="Bullet2Double0"/>
      </w:pPr>
      <w:r>
        <w:t>b.</w:t>
      </w:r>
      <w:r>
        <w:tab/>
        <w:t>Method of server image backups</w:t>
      </w:r>
    </w:p>
    <w:p w14:paraId="15F285B9" w14:textId="77777777" w:rsidR="00D24A4B" w:rsidRDefault="00D24A4B" w:rsidP="00D24A4B">
      <w:pPr>
        <w:pStyle w:val="Response"/>
      </w:pPr>
      <w:r>
        <w:t>Response:</w:t>
      </w:r>
    </w:p>
    <w:p w14:paraId="1400BC56" w14:textId="77777777" w:rsidR="00D24A4B" w:rsidRDefault="00D24A4B" w:rsidP="00D24A4B">
      <w:pPr>
        <w:pStyle w:val="BodyText"/>
      </w:pPr>
      <w:r>
        <w:t>Since this is the HPE GreenLake ProLiant for Microsoft Azure Stack Private Cloud, there are no server images involved. You can back up and restore configuration and service data using the Infrastructure Backup Service. Each Azure Stack installation contains an instance of the service. You can use backups created by the service for the redeployment of the Azure Stack Cloud to restore identity, security, and Azure Resource Manager data.</w:t>
      </w:r>
    </w:p>
    <w:p w14:paraId="7B45F692" w14:textId="77777777" w:rsidR="00D24A4B" w:rsidRDefault="00D24A4B" w:rsidP="00D24A4B">
      <w:pPr>
        <w:pStyle w:val="BodyText"/>
      </w:pPr>
      <w:r>
        <w:lastRenderedPageBreak/>
        <w:t>You can enable backup when you are ready to put your cloud into production. Do not enable backup if you plan to perform testing and validation for a long period of time.</w:t>
      </w:r>
    </w:p>
    <w:p w14:paraId="46113C3F" w14:textId="77777777" w:rsidR="00D24A4B" w:rsidRDefault="00D24A4B" w:rsidP="00D24A4B">
      <w:pPr>
        <w:pStyle w:val="Bullet2Double0"/>
      </w:pPr>
      <w:r>
        <w:t xml:space="preserve">c. </w:t>
      </w:r>
      <w:r>
        <w:tab/>
        <w:t>Digital location of backup storage (secondary storage, tape, etc.)</w:t>
      </w:r>
    </w:p>
    <w:p w14:paraId="1E410472" w14:textId="77777777" w:rsidR="00D24A4B" w:rsidRDefault="00D24A4B" w:rsidP="00D24A4B">
      <w:pPr>
        <w:pStyle w:val="Response"/>
      </w:pPr>
      <w:r>
        <w:t>Response:</w:t>
      </w:r>
    </w:p>
    <w:p w14:paraId="3F544ECC" w14:textId="77777777" w:rsidR="00D24A4B" w:rsidRDefault="00D24A4B" w:rsidP="00D24A4B">
      <w:pPr>
        <w:pStyle w:val="BodyText"/>
      </w:pPr>
      <w:r>
        <w:t>For both file-system and database backups, HPE also offers the option of daily/weekly/monthly off-site tape copy service that provides FIPS Level 2-compliant  encryption and storage of off-site backups. The off-site tapes are warehoused at an Iron Mountain facility local to the datacenter.</w:t>
      </w:r>
    </w:p>
    <w:p w14:paraId="205FC998" w14:textId="77777777" w:rsidR="00D24A4B" w:rsidRDefault="00D24A4B" w:rsidP="00D24A4B">
      <w:pPr>
        <w:pStyle w:val="Bullet2Double0"/>
      </w:pPr>
      <w:r>
        <w:t xml:space="preserve">d. </w:t>
      </w:r>
      <w:r>
        <w:tab/>
        <w:t>Alternate data center strategies for primary data centers within the continental United States.</w:t>
      </w:r>
    </w:p>
    <w:p w14:paraId="15C58BC3" w14:textId="77777777" w:rsidR="00D24A4B" w:rsidRPr="00D87B29" w:rsidRDefault="00D24A4B" w:rsidP="00D24A4B">
      <w:pPr>
        <w:pStyle w:val="Response"/>
      </w:pPr>
      <w:r w:rsidRPr="00D87B29">
        <w:t>Response:</w:t>
      </w:r>
    </w:p>
    <w:p w14:paraId="568F6C83" w14:textId="77777777" w:rsidR="00D24A4B" w:rsidRDefault="00D24A4B" w:rsidP="00D24A4B">
      <w:pPr>
        <w:pStyle w:val="BodyText"/>
      </w:pPr>
      <w:r>
        <w:t>Purchasing Entities</w:t>
      </w:r>
      <w:r w:rsidRPr="00D11795">
        <w:t xml:space="preserve"> that need geographically distributed data centers with global redundancy</w:t>
      </w:r>
      <w:r w:rsidRPr="00D87B29">
        <w:t xml:space="preserve"> for hosting public-facing cloud apps can leverage Azure public cloud. While for dev/test</w:t>
      </w:r>
      <w:r>
        <w:t>,</w:t>
      </w:r>
      <w:r w:rsidRPr="00D87B29">
        <w:t xml:space="preserve"> they may require variable capacity in a few specific locations to complete different development phases, such as code compilation and processing. The solution provides complete control over the physical location and reallocation of capacity with just a few clicks in addition to seamless workload migration across Azure hybrid cloud.</w:t>
      </w:r>
    </w:p>
    <w:p w14:paraId="5742D207" w14:textId="77777777" w:rsidR="00D24A4B" w:rsidRDefault="00D24A4B" w:rsidP="00D24A4B">
      <w:pPr>
        <w:pStyle w:val="Heading30"/>
      </w:pPr>
      <w:bookmarkStart w:id="37" w:name="_Toc514418396"/>
      <w:bookmarkStart w:id="38" w:name="_Toc518548596"/>
      <w:r>
        <w:t>8.9</w:t>
      </w:r>
      <w:r>
        <w:tab/>
        <w:t>(E) Data Protection</w:t>
      </w:r>
      <w:bookmarkEnd w:id="37"/>
      <w:bookmarkEnd w:id="38"/>
    </w:p>
    <w:p w14:paraId="39803AB9" w14:textId="77777777" w:rsidR="00D24A4B" w:rsidRPr="006873D0" w:rsidRDefault="00D24A4B" w:rsidP="00D24A4B">
      <w:pPr>
        <w:shd w:val="clear" w:color="auto" w:fill="E2EFD9" w:themeFill="accent6" w:themeFillTint="33"/>
        <w:spacing w:after="160" w:line="259" w:lineRule="auto"/>
        <w:rPr>
          <w:rFonts w:ascii="Arial" w:eastAsia="PMingLiU" w:hAnsi="Arial" w:cs="Times New Roman"/>
          <w:szCs w:val="20"/>
          <w:lang w:val="en-GB"/>
        </w:rPr>
      </w:pPr>
      <w:r w:rsidRPr="002A337F">
        <w:rPr>
          <w:rFonts w:ascii="Arial" w:eastAsia="PMingLiU" w:hAnsi="Arial" w:cs="Times New Roman"/>
          <w:szCs w:val="20"/>
          <w:lang w:val="en-GB"/>
        </w:rPr>
        <w:t>HPE Hybrid Cloud solution is a fully integrated system that delivers Azure compatible, software defined Infrastructure-as-a-Service (IaaS), Platform-as-a-Service (PaaS) on HPE hardware and Software-as-a-Service (SaaS) on Microsoft’ Azure public cloud</w:t>
      </w:r>
      <w:r>
        <w:rPr>
          <w:rFonts w:ascii="Arial" w:eastAsia="PMingLiU" w:hAnsi="Arial" w:cs="Times New Roman"/>
          <w:szCs w:val="20"/>
          <w:lang w:val="en-GB"/>
        </w:rPr>
        <w:t>.  This</w:t>
      </w:r>
      <w:r w:rsidRPr="002A337F">
        <w:rPr>
          <w:rFonts w:ascii="Arial" w:eastAsia="PMingLiU" w:hAnsi="Arial" w:cs="Times New Roman"/>
          <w:szCs w:val="20"/>
          <w:lang w:val="en-GB"/>
        </w:rPr>
        <w:t xml:space="preserve"> is a superior offering for Purchasing Entity</w:t>
      </w:r>
      <w:r>
        <w:rPr>
          <w:rFonts w:ascii="Arial" w:eastAsia="PMingLiU" w:hAnsi="Arial" w:cs="Times New Roman"/>
          <w:szCs w:val="20"/>
          <w:lang w:val="en-GB"/>
        </w:rPr>
        <w:t xml:space="preserve"> because:</w:t>
      </w:r>
    </w:p>
    <w:p w14:paraId="07599F6E" w14:textId="77777777" w:rsidR="00D24A4B" w:rsidRPr="006873D0"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D87B29">
        <w:rPr>
          <w:rFonts w:ascii="Arial" w:eastAsia="PMingLiU" w:hAnsi="Arial" w:cs="Times New Roman"/>
          <w:szCs w:val="20"/>
        </w:rPr>
        <w:t>HPE respects and is committed to protecting the personal information</w:t>
      </w:r>
      <w:r w:rsidRPr="00D87B29">
        <w:t xml:space="preserve"> </w:t>
      </w:r>
      <w:r w:rsidRPr="00D87B29">
        <w:rPr>
          <w:rFonts w:ascii="Arial" w:eastAsia="PMingLiU" w:hAnsi="Arial" w:cs="Times New Roman"/>
          <w:szCs w:val="20"/>
        </w:rPr>
        <w:t>of covered individuals</w:t>
      </w:r>
    </w:p>
    <w:p w14:paraId="1445F8BC" w14:textId="77777777" w:rsidR="00D24A4B"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D87B29">
        <w:rPr>
          <w:rFonts w:ascii="Arial" w:eastAsia="PMingLiU" w:hAnsi="Arial" w:cs="Times New Roman"/>
          <w:szCs w:val="20"/>
        </w:rPr>
        <w:t>HPE privacy policies and data protection practices extend by contract to our supplier and partner relationships</w:t>
      </w:r>
    </w:p>
    <w:p w14:paraId="5B63F97F" w14:textId="77777777" w:rsidR="00D24A4B" w:rsidRPr="006E175D"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Pr>
          <w:rFonts w:ascii="Arial" w:eastAsia="PMingLiU" w:hAnsi="Arial" w:cs="Times New Roman"/>
          <w:szCs w:val="20"/>
        </w:rPr>
        <w:t>Customer maintains complete control over this data</w:t>
      </w:r>
    </w:p>
    <w:p w14:paraId="256755A1" w14:textId="77777777" w:rsidR="00D24A4B" w:rsidRDefault="00D24A4B" w:rsidP="00D24A4B">
      <w:pPr>
        <w:pStyle w:val="Bullet1Double0"/>
        <w:ind w:left="720" w:hanging="720"/>
      </w:pPr>
      <w:r>
        <w:t>8.9.1</w:t>
      </w:r>
      <w:r>
        <w:tab/>
        <w:t>Specify standard encryption technologies and options to protect sensitive data, depending on the particular service model that you intend to provide under this Master Agreement, while in transit or at rest.</w:t>
      </w:r>
    </w:p>
    <w:p w14:paraId="084CC8D3" w14:textId="77777777" w:rsidR="00D24A4B" w:rsidRDefault="00D24A4B" w:rsidP="00D24A4B">
      <w:pPr>
        <w:pStyle w:val="Response"/>
      </w:pPr>
      <w:r>
        <w:t>Response:</w:t>
      </w:r>
    </w:p>
    <w:p w14:paraId="04C0F723" w14:textId="77777777" w:rsidR="00D24A4B" w:rsidRPr="00371EA9" w:rsidRDefault="00D24A4B" w:rsidP="00D24A4B">
      <w:pPr>
        <w:pStyle w:val="BodyText"/>
      </w:pPr>
      <w:r w:rsidRPr="00B00061">
        <w:t xml:space="preserve">The HPE </w:t>
      </w:r>
      <w:r>
        <w:t>GreenLake Flex Capacity Packages are</w:t>
      </w:r>
      <w:r w:rsidRPr="00B00061">
        <w:t xml:space="preserve"> installed at the Purchasing Entity site and becomes the Purchasing Entity client’s responsibility for data protection requirements</w:t>
      </w:r>
      <w:r>
        <w:t xml:space="preserve">. As an option, </w:t>
      </w:r>
      <w:r w:rsidRPr="00B00061">
        <w:t>HPE offer</w:t>
      </w:r>
      <w:r>
        <w:t>s</w:t>
      </w:r>
      <w:r w:rsidRPr="00B00061">
        <w:t xml:space="preserve"> encrypted disk</w:t>
      </w:r>
      <w:r>
        <w:t>.</w:t>
      </w:r>
      <w:r w:rsidRPr="00B00061">
        <w:t xml:space="preserve">     </w:t>
      </w:r>
    </w:p>
    <w:p w14:paraId="79D59AD4" w14:textId="77777777" w:rsidR="00D24A4B" w:rsidRDefault="00D24A4B" w:rsidP="00D24A4B">
      <w:pPr>
        <w:pStyle w:val="Bullet1Double0"/>
        <w:ind w:left="720" w:hanging="720"/>
      </w:pPr>
      <w:r>
        <w:t>8.9.2</w:t>
      </w:r>
      <w:r>
        <w:tab/>
        <w:t xml:space="preserve">Describe whether or not it is willing to sign relevant and applicable Business Associate Agreement or any other agreement that may be necessary to protect data with a Purchasing Entity. </w:t>
      </w:r>
    </w:p>
    <w:p w14:paraId="12A1C229" w14:textId="77777777" w:rsidR="00D24A4B" w:rsidRDefault="00D24A4B" w:rsidP="00D24A4B">
      <w:pPr>
        <w:pStyle w:val="Response"/>
      </w:pPr>
      <w:r>
        <w:t>Response:</w:t>
      </w:r>
    </w:p>
    <w:p w14:paraId="62A25E35" w14:textId="77777777" w:rsidR="00D24A4B" w:rsidRDefault="00D24A4B" w:rsidP="00D24A4B">
      <w:pPr>
        <w:pStyle w:val="BodyText"/>
      </w:pPr>
      <w:r>
        <w:t xml:space="preserve">HPE is willing to agree to sign, in the event a Business Associate Agreement is relevant and applicable to the Services provided to a Purchasing Entity, HPE’s Business Associate Schedule, included with HPE Data Processing and Security Terms represented in our response, Section 8, Supplementary Terms, Exhibit M – HPE Data Processing and Security Terms. HPE will comply with data protection terms, negotiated and mutually </w:t>
      </w:r>
      <w:r>
        <w:lastRenderedPageBreak/>
        <w:t>agreed upon in the Master Agreement, or Participating Addendum, unless otherwise agreed between HPE and the Purchasing Entity on a per-Order basis, when relevant and applicable.</w:t>
      </w:r>
    </w:p>
    <w:p w14:paraId="0A0503C1" w14:textId="77777777" w:rsidR="00D24A4B" w:rsidRPr="00371EA9" w:rsidRDefault="00D24A4B" w:rsidP="00D24A4B">
      <w:pPr>
        <w:pStyle w:val="BodyText"/>
      </w:pPr>
      <w:r>
        <w:t>HPE GreenLake ProLiant for Microsoft Azure Stack IaaS Private Cloud is on premise, installed at a Purchasing Entity’s own site. The advantage of an On-Site, Private Cloud is that the Purchasing Entity has complete control over the environment and use of the system.</w:t>
      </w:r>
    </w:p>
    <w:p w14:paraId="7D6DB72F" w14:textId="77777777" w:rsidR="00D24A4B" w:rsidRDefault="00D24A4B" w:rsidP="00D24A4B">
      <w:pPr>
        <w:pStyle w:val="Bullet1Double0"/>
        <w:ind w:left="720" w:hanging="720"/>
      </w:pPr>
      <w:r>
        <w:t>8.9.3</w:t>
      </w:r>
      <w:r>
        <w:tab/>
        <w:t>Offeror must describe how it will only use data for purposes defined in the Master Agreement, participating addendum, or related service level agreement. Offeror shall not use the government data or government related data for any other purpose including but not limited to data mining. Offeror or its subcontractors shall not resell nor otherwise redistribute information gained from its access to the data received as a result of this RFP.</w:t>
      </w:r>
    </w:p>
    <w:p w14:paraId="75198F7D" w14:textId="77777777" w:rsidR="00D24A4B" w:rsidRDefault="00D24A4B" w:rsidP="00D24A4B">
      <w:pPr>
        <w:pStyle w:val="Response"/>
      </w:pPr>
      <w:r>
        <w:t>Response:</w:t>
      </w:r>
    </w:p>
    <w:p w14:paraId="70A2B3B4" w14:textId="77777777" w:rsidR="00D24A4B" w:rsidRDefault="00D24A4B" w:rsidP="00D24A4B">
      <w:pPr>
        <w:pStyle w:val="BodyText"/>
      </w:pPr>
      <w:r>
        <w:t xml:space="preserve">HPE will only use customer data for purposes defined in the Master Agreement, participating addendum, or related service level agreement. HPE may have limited, incidental access to customer data only where necessary to support the IT systems, networks and other resources used by HPE to provide the services. The customer is the owner of the data and will remain owner of the data throughout the HPE relationship. </w:t>
      </w:r>
    </w:p>
    <w:p w14:paraId="2CD505FD" w14:textId="77777777" w:rsidR="00D24A4B" w:rsidRDefault="00D24A4B" w:rsidP="00D24A4B">
      <w:pPr>
        <w:pStyle w:val="BodyText"/>
      </w:pPr>
      <w:r>
        <w:t>HPE Data Processing and Security Terms represented in our response, Section 8, Supplementary Terms, Exhibit M – HPE Data Processing and Security Terms.</w:t>
      </w:r>
    </w:p>
    <w:p w14:paraId="03538FA8" w14:textId="77777777" w:rsidR="00D24A4B" w:rsidRPr="00F937B5" w:rsidRDefault="00D24A4B" w:rsidP="00D24A4B">
      <w:pPr>
        <w:pStyle w:val="BodyText"/>
      </w:pPr>
      <w:r>
        <w:t>HPE respects and is committed to protecting the personal information of covered individuals. We follow privacy policies and data protection practices to comply with the law and to earn trust and confidence in HPE and its business practices. HPE privacy policies and data protection practices extend by contract to our supplier and partner relationships. HPE board members, employees, and those working on behalf of HPE are informed and trained about these policies and practices and are expected to follow them. HPE privacy policies and practices reflect and reinforce the HPE company values of trust, integrity, and quality.</w:t>
      </w:r>
    </w:p>
    <w:p w14:paraId="37BAE438" w14:textId="77777777" w:rsidR="00D24A4B" w:rsidRDefault="00D24A4B" w:rsidP="00D24A4B">
      <w:pPr>
        <w:pStyle w:val="Heading30"/>
      </w:pPr>
      <w:bookmarkStart w:id="39" w:name="_Toc514418397"/>
      <w:bookmarkStart w:id="40" w:name="_Toc518548597"/>
      <w:r>
        <w:t>8.10</w:t>
      </w:r>
      <w:r>
        <w:tab/>
        <w:t>(E) Service Level Agreements</w:t>
      </w:r>
      <w:bookmarkEnd w:id="39"/>
      <w:bookmarkEnd w:id="40"/>
      <w:r>
        <w:tab/>
      </w:r>
    </w:p>
    <w:p w14:paraId="17D1F710" w14:textId="77777777" w:rsidR="00D24A4B" w:rsidRPr="006873D0" w:rsidRDefault="00D24A4B" w:rsidP="00D24A4B">
      <w:pPr>
        <w:shd w:val="clear" w:color="auto" w:fill="E2EFD9" w:themeFill="accent6" w:themeFillTint="33"/>
        <w:spacing w:after="160" w:line="259" w:lineRule="auto"/>
        <w:rPr>
          <w:rFonts w:ascii="Arial" w:eastAsia="PMingLiU" w:hAnsi="Arial" w:cs="Times New Roman"/>
          <w:szCs w:val="20"/>
          <w:lang w:val="en-GB"/>
        </w:rPr>
      </w:pPr>
      <w:r w:rsidRPr="002A337F">
        <w:rPr>
          <w:rFonts w:ascii="Arial" w:eastAsia="PMingLiU" w:hAnsi="Arial" w:cs="Times New Roman"/>
          <w:szCs w:val="20"/>
          <w:lang w:val="en-GB"/>
        </w:rPr>
        <w:t>HPE Hybrid Cloud solution is a fully integrated system that delivers Azure compatible, software defined Infrastructure-as-a-Service (IaaS), Platform-as-a-Service (PaaS) on HPE hardware and Software-as-a-Service (SaaS) on Microsoft’ Azure public cloud</w:t>
      </w:r>
      <w:r>
        <w:rPr>
          <w:rFonts w:ascii="Arial" w:eastAsia="PMingLiU" w:hAnsi="Arial" w:cs="Times New Roman"/>
          <w:szCs w:val="20"/>
          <w:lang w:val="en-GB"/>
        </w:rPr>
        <w:t>.  This</w:t>
      </w:r>
      <w:r w:rsidRPr="002A337F">
        <w:rPr>
          <w:rFonts w:ascii="Arial" w:eastAsia="PMingLiU" w:hAnsi="Arial" w:cs="Times New Roman"/>
          <w:szCs w:val="20"/>
          <w:lang w:val="en-GB"/>
        </w:rPr>
        <w:t xml:space="preserve"> is a superior offering for Purchasing Entity</w:t>
      </w:r>
      <w:r>
        <w:rPr>
          <w:rFonts w:ascii="Arial" w:eastAsia="PMingLiU" w:hAnsi="Arial" w:cs="Times New Roman"/>
          <w:szCs w:val="20"/>
          <w:lang w:val="en-GB"/>
        </w:rPr>
        <w:t xml:space="preserve"> because:</w:t>
      </w:r>
    </w:p>
    <w:p w14:paraId="6CFFEC90" w14:textId="77777777" w:rsidR="00D24A4B" w:rsidRPr="006873D0"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D87B29">
        <w:rPr>
          <w:rFonts w:ascii="Arial" w:eastAsia="PMingLiU" w:hAnsi="Arial" w:cs="Times New Roman"/>
          <w:szCs w:val="20"/>
        </w:rPr>
        <w:t>Datacenter Care core</w:t>
      </w:r>
      <w:r>
        <w:rPr>
          <w:rFonts w:ascii="Arial" w:eastAsia="PMingLiU" w:hAnsi="Arial" w:cs="Times New Roman"/>
          <w:szCs w:val="20"/>
        </w:rPr>
        <w:t xml:space="preserve"> services</w:t>
      </w:r>
      <w:r w:rsidRPr="00D87B29">
        <w:rPr>
          <w:rFonts w:ascii="Arial" w:eastAsia="PMingLiU" w:hAnsi="Arial" w:cs="Times New Roman"/>
          <w:szCs w:val="20"/>
        </w:rPr>
        <w:t xml:space="preserve"> and deliverables are directly aligned to the SLA commitment of the Purchasing Entity</w:t>
      </w:r>
    </w:p>
    <w:p w14:paraId="312342A8" w14:textId="77777777" w:rsidR="00D24A4B" w:rsidRPr="006873D0"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D87B29">
        <w:rPr>
          <w:rFonts w:ascii="Arial" w:eastAsia="PMingLiU" w:hAnsi="Arial" w:cs="Times New Roman"/>
          <w:szCs w:val="20"/>
        </w:rPr>
        <w:t xml:space="preserve">HPE's flexible support service helps Purchasing Entity consistently meet </w:t>
      </w:r>
      <w:r>
        <w:rPr>
          <w:rFonts w:ascii="Arial" w:eastAsia="PMingLiU" w:hAnsi="Arial" w:cs="Times New Roman"/>
          <w:szCs w:val="20"/>
        </w:rPr>
        <w:t>its</w:t>
      </w:r>
      <w:r w:rsidRPr="00D87B29">
        <w:rPr>
          <w:rFonts w:ascii="Arial" w:eastAsia="PMingLiU" w:hAnsi="Arial" w:cs="Times New Roman"/>
          <w:szCs w:val="20"/>
        </w:rPr>
        <w:t xml:space="preserve"> service level targets and other business objectives.</w:t>
      </w:r>
    </w:p>
    <w:p w14:paraId="30C0E1B4" w14:textId="77777777" w:rsidR="00D24A4B" w:rsidRDefault="00D24A4B" w:rsidP="00D24A4B">
      <w:pPr>
        <w:pStyle w:val="Bullet1Double0"/>
        <w:ind w:left="720" w:hanging="720"/>
      </w:pPr>
      <w:r>
        <w:t>8.10.1</w:t>
      </w:r>
      <w:r>
        <w:tab/>
        <w:t>Offeror must describe whether your sample Service Level Agreement is negotiable. If not describe how it benefits purchasing entity’s not to negotiate your Service Level Agreement.</w:t>
      </w:r>
    </w:p>
    <w:p w14:paraId="729F727B" w14:textId="77777777" w:rsidR="00D24A4B" w:rsidRDefault="00D24A4B" w:rsidP="00D24A4B">
      <w:pPr>
        <w:pStyle w:val="Response"/>
      </w:pPr>
      <w:r>
        <w:t>Response:</w:t>
      </w:r>
    </w:p>
    <w:p w14:paraId="69F7CC72" w14:textId="77777777" w:rsidR="00D24A4B" w:rsidRDefault="00D24A4B" w:rsidP="00D24A4B">
      <w:pPr>
        <w:pStyle w:val="BodyText"/>
      </w:pPr>
      <w:r w:rsidRPr="00B00061">
        <w:t xml:space="preserve">The HPE </w:t>
      </w:r>
      <w:r>
        <w:t>GreenLake Flex Capacity Packages are</w:t>
      </w:r>
      <w:r w:rsidRPr="00B00061">
        <w:t xml:space="preserve"> installed at the Purchasing Entity site and HPE works with the Purchasing Entity client to develop a joint Service Level Agreement</w:t>
      </w:r>
      <w:r>
        <w:t xml:space="preserve">. </w:t>
      </w:r>
      <w:r w:rsidRPr="00B00061">
        <w:t xml:space="preserve">HPE Datacenter Care Service is HPE's most flexible support service and </w:t>
      </w:r>
      <w:r w:rsidRPr="00B00061">
        <w:lastRenderedPageBreak/>
        <w:t>helps Purchasing Entity consistently meet their service level targets and other business objectives</w:t>
      </w:r>
      <w:r>
        <w:t xml:space="preserve">. </w:t>
      </w:r>
    </w:p>
    <w:p w14:paraId="626B23AE" w14:textId="77777777" w:rsidR="00D24A4B" w:rsidRDefault="00D24A4B" w:rsidP="00D24A4B">
      <w:pPr>
        <w:pStyle w:val="Heading40"/>
      </w:pPr>
      <w:r>
        <w:t>Service-Level Features</w:t>
      </w:r>
    </w:p>
    <w:p w14:paraId="4344A420" w14:textId="77777777" w:rsidR="00D24A4B" w:rsidRDefault="00D24A4B" w:rsidP="00D24A4B">
      <w:pPr>
        <w:pStyle w:val="Bullet1Single"/>
        <w:numPr>
          <w:ilvl w:val="0"/>
          <w:numId w:val="9"/>
        </w:numPr>
        <w:tabs>
          <w:tab w:val="clear" w:pos="0"/>
        </w:tabs>
        <w:ind w:left="360" w:hanging="360"/>
      </w:pPr>
      <w:r>
        <w:t xml:space="preserve">Coverage window </w:t>
      </w:r>
    </w:p>
    <w:p w14:paraId="3B593844" w14:textId="77777777" w:rsidR="00D24A4B" w:rsidRDefault="00D24A4B" w:rsidP="00D24A4B">
      <w:pPr>
        <w:pStyle w:val="Bullet2Single0"/>
        <w:numPr>
          <w:ilvl w:val="0"/>
          <w:numId w:val="11"/>
        </w:numPr>
        <w:tabs>
          <w:tab w:val="clear" w:pos="360"/>
        </w:tabs>
        <w:ind w:left="720" w:hanging="360"/>
      </w:pPr>
      <w:r>
        <w:t xml:space="preserve">Default service coverage window: </w:t>
      </w:r>
    </w:p>
    <w:p w14:paraId="68D05DF8" w14:textId="77777777" w:rsidR="00D24A4B" w:rsidRDefault="00D24A4B" w:rsidP="00D24A4B">
      <w:pPr>
        <w:pStyle w:val="Bullet3Single0"/>
      </w:pPr>
      <w:r>
        <w:t xml:space="preserve">24 hours, seven days a week (24x7) </w:t>
      </w:r>
    </w:p>
    <w:p w14:paraId="1CB1E80F" w14:textId="77777777" w:rsidR="00D24A4B" w:rsidRDefault="00D24A4B" w:rsidP="00D24A4B">
      <w:pPr>
        <w:pStyle w:val="Bullet1Single"/>
        <w:numPr>
          <w:ilvl w:val="0"/>
          <w:numId w:val="9"/>
        </w:numPr>
        <w:tabs>
          <w:tab w:val="clear" w:pos="0"/>
        </w:tabs>
        <w:ind w:left="360" w:hanging="360"/>
      </w:pPr>
      <w:r>
        <w:t xml:space="preserve">Hardware reactive support options </w:t>
      </w:r>
    </w:p>
    <w:p w14:paraId="70204FAD" w14:textId="77777777" w:rsidR="00D24A4B" w:rsidRDefault="00D24A4B" w:rsidP="00D24A4B">
      <w:pPr>
        <w:pStyle w:val="Bullet2Single0"/>
        <w:numPr>
          <w:ilvl w:val="0"/>
          <w:numId w:val="11"/>
        </w:numPr>
        <w:tabs>
          <w:tab w:val="clear" w:pos="360"/>
        </w:tabs>
        <w:ind w:left="720" w:hanging="360"/>
      </w:pPr>
      <w:r>
        <w:t xml:space="preserve">Onsite response time for hardware support </w:t>
      </w:r>
    </w:p>
    <w:p w14:paraId="229DA3F3" w14:textId="77777777" w:rsidR="00D24A4B" w:rsidRDefault="00D24A4B" w:rsidP="00D24A4B">
      <w:pPr>
        <w:pStyle w:val="Bullet2Single0"/>
        <w:numPr>
          <w:ilvl w:val="0"/>
          <w:numId w:val="11"/>
        </w:numPr>
        <w:tabs>
          <w:tab w:val="clear" w:pos="360"/>
        </w:tabs>
        <w:ind w:left="720" w:hanging="360"/>
      </w:pPr>
      <w:r>
        <w:t xml:space="preserve">Onsite response time options: </w:t>
      </w:r>
    </w:p>
    <w:p w14:paraId="14A75DBF" w14:textId="77777777" w:rsidR="00D24A4B" w:rsidRDefault="00D24A4B" w:rsidP="00D24A4B">
      <w:pPr>
        <w:pStyle w:val="Bullet3Single0"/>
      </w:pPr>
      <w:r>
        <w:t xml:space="preserve">4-hour onsite response </w:t>
      </w:r>
    </w:p>
    <w:p w14:paraId="73C43243" w14:textId="77777777" w:rsidR="00D24A4B" w:rsidRDefault="00D24A4B" w:rsidP="00D24A4B">
      <w:pPr>
        <w:pStyle w:val="BodyText"/>
      </w:pPr>
      <w:r>
        <w:t>Core features include the following:</w:t>
      </w:r>
    </w:p>
    <w:p w14:paraId="48C9384A" w14:textId="77777777" w:rsidR="00D24A4B" w:rsidRDefault="00D24A4B" w:rsidP="00D24A4B">
      <w:pPr>
        <w:pStyle w:val="Bullet1Double"/>
        <w:numPr>
          <w:ilvl w:val="0"/>
          <w:numId w:val="9"/>
        </w:numPr>
        <w:tabs>
          <w:tab w:val="clear" w:pos="0"/>
        </w:tabs>
        <w:ind w:left="360" w:hanging="360"/>
      </w:pPr>
      <w:r>
        <w:t xml:space="preserve"> Relationship management, which includes:</w:t>
      </w:r>
    </w:p>
    <w:p w14:paraId="6A8143C6" w14:textId="77777777" w:rsidR="00D24A4B" w:rsidRDefault="00D24A4B" w:rsidP="00D24A4B">
      <w:pPr>
        <w:pStyle w:val="Bullet2Double"/>
        <w:numPr>
          <w:ilvl w:val="0"/>
          <w:numId w:val="11"/>
        </w:numPr>
        <w:tabs>
          <w:tab w:val="clear" w:pos="360"/>
        </w:tabs>
        <w:ind w:left="720" w:hanging="360"/>
      </w:pPr>
      <w:r>
        <w:t>Assigned account team</w:t>
      </w:r>
    </w:p>
    <w:p w14:paraId="7C11FB69" w14:textId="77777777" w:rsidR="00D24A4B" w:rsidRDefault="00D24A4B" w:rsidP="00D24A4B">
      <w:pPr>
        <w:pStyle w:val="Bullet2Double"/>
        <w:numPr>
          <w:ilvl w:val="0"/>
          <w:numId w:val="11"/>
        </w:numPr>
        <w:tabs>
          <w:tab w:val="clear" w:pos="360"/>
        </w:tabs>
        <w:ind w:left="720" w:hanging="360"/>
      </w:pPr>
      <w:r>
        <w:t>Account support plan</w:t>
      </w:r>
    </w:p>
    <w:p w14:paraId="58E6EE58" w14:textId="77777777" w:rsidR="00D24A4B" w:rsidRDefault="00D24A4B" w:rsidP="00D24A4B">
      <w:pPr>
        <w:pStyle w:val="Bullet2Double"/>
        <w:numPr>
          <w:ilvl w:val="0"/>
          <w:numId w:val="11"/>
        </w:numPr>
        <w:tabs>
          <w:tab w:val="clear" w:pos="360"/>
        </w:tabs>
        <w:ind w:left="720" w:hanging="360"/>
      </w:pPr>
      <w:r>
        <w:t>Site survey</w:t>
      </w:r>
    </w:p>
    <w:p w14:paraId="2E5281E8" w14:textId="77777777" w:rsidR="00D24A4B" w:rsidRDefault="00D24A4B" w:rsidP="00D24A4B">
      <w:pPr>
        <w:pStyle w:val="Bullet2Double"/>
        <w:numPr>
          <w:ilvl w:val="0"/>
          <w:numId w:val="11"/>
        </w:numPr>
        <w:tabs>
          <w:tab w:val="clear" w:pos="360"/>
        </w:tabs>
        <w:ind w:left="720" w:hanging="360"/>
      </w:pPr>
      <w:r>
        <w:t>Support planning and review</w:t>
      </w:r>
    </w:p>
    <w:p w14:paraId="2E4E7640" w14:textId="77777777" w:rsidR="00D24A4B" w:rsidRDefault="00D24A4B" w:rsidP="00D24A4B">
      <w:pPr>
        <w:pStyle w:val="Bullet2Double"/>
        <w:numPr>
          <w:ilvl w:val="0"/>
          <w:numId w:val="11"/>
        </w:numPr>
        <w:tabs>
          <w:tab w:val="clear" w:pos="360"/>
        </w:tabs>
        <w:ind w:left="720" w:hanging="360"/>
      </w:pPr>
      <w:r>
        <w:t>Support activity review</w:t>
      </w:r>
    </w:p>
    <w:p w14:paraId="131B4E58" w14:textId="77777777" w:rsidR="00D24A4B" w:rsidRDefault="00D24A4B" w:rsidP="00D24A4B">
      <w:pPr>
        <w:pStyle w:val="Bullet2Double"/>
        <w:numPr>
          <w:ilvl w:val="0"/>
          <w:numId w:val="11"/>
        </w:numPr>
        <w:tabs>
          <w:tab w:val="clear" w:pos="360"/>
        </w:tabs>
        <w:ind w:left="720" w:hanging="360"/>
      </w:pPr>
      <w:r>
        <w:t>HPE support center</w:t>
      </w:r>
    </w:p>
    <w:p w14:paraId="19993853" w14:textId="77777777" w:rsidR="00D24A4B" w:rsidRDefault="00D24A4B" w:rsidP="00D24A4B">
      <w:pPr>
        <w:pStyle w:val="Bullet2Double"/>
        <w:numPr>
          <w:ilvl w:val="0"/>
          <w:numId w:val="11"/>
        </w:numPr>
        <w:tabs>
          <w:tab w:val="clear" w:pos="360"/>
        </w:tabs>
        <w:ind w:left="720" w:hanging="360"/>
      </w:pPr>
      <w:r>
        <w:t>HPE educational planning and assistance</w:t>
      </w:r>
    </w:p>
    <w:p w14:paraId="26127E07" w14:textId="77777777" w:rsidR="00D24A4B" w:rsidRDefault="00D24A4B" w:rsidP="00D24A4B">
      <w:pPr>
        <w:pStyle w:val="Bullet1Double"/>
        <w:numPr>
          <w:ilvl w:val="0"/>
          <w:numId w:val="9"/>
        </w:numPr>
        <w:tabs>
          <w:tab w:val="clear" w:pos="0"/>
        </w:tabs>
        <w:ind w:left="360" w:hanging="360"/>
      </w:pPr>
      <w:r>
        <w:t xml:space="preserve"> Enhanced call handling, which includes:</w:t>
      </w:r>
    </w:p>
    <w:p w14:paraId="2E799D06" w14:textId="77777777" w:rsidR="00D24A4B" w:rsidRDefault="00D24A4B" w:rsidP="00D24A4B">
      <w:pPr>
        <w:pStyle w:val="Bullet2Double"/>
        <w:numPr>
          <w:ilvl w:val="0"/>
          <w:numId w:val="11"/>
        </w:numPr>
        <w:tabs>
          <w:tab w:val="clear" w:pos="360"/>
        </w:tabs>
        <w:ind w:left="720" w:hanging="360"/>
      </w:pPr>
      <w:r>
        <w:t>Rapid response to critical hardware and software incidents (24x7)</w:t>
      </w:r>
    </w:p>
    <w:p w14:paraId="0A89B7CA" w14:textId="77777777" w:rsidR="00D24A4B" w:rsidRDefault="00D24A4B" w:rsidP="00D24A4B">
      <w:pPr>
        <w:pStyle w:val="Bullet2Double"/>
        <w:numPr>
          <w:ilvl w:val="0"/>
          <w:numId w:val="11"/>
        </w:numPr>
        <w:tabs>
          <w:tab w:val="clear" w:pos="360"/>
        </w:tabs>
        <w:ind w:left="720" w:hanging="360"/>
      </w:pPr>
      <w:r>
        <w:t>Accelerated escalation management</w:t>
      </w:r>
    </w:p>
    <w:p w14:paraId="605C743B" w14:textId="77777777" w:rsidR="00D24A4B" w:rsidRDefault="00D24A4B" w:rsidP="00D24A4B">
      <w:pPr>
        <w:pStyle w:val="Bullet2Double"/>
        <w:numPr>
          <w:ilvl w:val="0"/>
          <w:numId w:val="11"/>
        </w:numPr>
        <w:tabs>
          <w:tab w:val="clear" w:pos="360"/>
        </w:tabs>
        <w:ind w:left="720" w:hanging="360"/>
      </w:pPr>
      <w:r>
        <w:t>Remote hardware and software incident diagnosis and support</w:t>
      </w:r>
    </w:p>
    <w:p w14:paraId="55E3EFF2" w14:textId="77777777" w:rsidR="00D24A4B" w:rsidRDefault="00D24A4B" w:rsidP="00D24A4B">
      <w:pPr>
        <w:pStyle w:val="Bullet2Double"/>
        <w:numPr>
          <w:ilvl w:val="0"/>
          <w:numId w:val="11"/>
        </w:numPr>
        <w:tabs>
          <w:tab w:val="clear" w:pos="360"/>
        </w:tabs>
        <w:ind w:left="720" w:hanging="360"/>
      </w:pPr>
      <w:r>
        <w:t>HPE Electronic Remote Support Solution</w:t>
      </w:r>
    </w:p>
    <w:p w14:paraId="24790210" w14:textId="77777777" w:rsidR="00D24A4B" w:rsidRDefault="00D24A4B" w:rsidP="00D24A4B">
      <w:pPr>
        <w:pStyle w:val="Bullet2Double"/>
        <w:numPr>
          <w:ilvl w:val="0"/>
          <w:numId w:val="11"/>
        </w:numPr>
        <w:tabs>
          <w:tab w:val="clear" w:pos="360"/>
        </w:tabs>
        <w:ind w:left="720" w:hanging="360"/>
      </w:pPr>
      <w:r>
        <w:t>Assistance on non-HPE software products</w:t>
      </w:r>
    </w:p>
    <w:p w14:paraId="5150EFE9" w14:textId="77777777" w:rsidR="00D24A4B" w:rsidRDefault="00D24A4B" w:rsidP="00D24A4B">
      <w:pPr>
        <w:pStyle w:val="Bullet2Double"/>
        <w:numPr>
          <w:ilvl w:val="0"/>
          <w:numId w:val="11"/>
        </w:numPr>
        <w:tabs>
          <w:tab w:val="clear" w:pos="360"/>
        </w:tabs>
        <w:ind w:left="720" w:hanging="360"/>
      </w:pPr>
      <w:r>
        <w:t>Access to electronic support information and services</w:t>
      </w:r>
    </w:p>
    <w:p w14:paraId="29109E27" w14:textId="77777777" w:rsidR="00D24A4B" w:rsidRDefault="00D24A4B" w:rsidP="00D24A4B">
      <w:pPr>
        <w:pStyle w:val="Subheading"/>
      </w:pPr>
      <w:r>
        <w:t>HPE Datacenter Care for Cloud</w:t>
      </w:r>
    </w:p>
    <w:p w14:paraId="7D901635" w14:textId="77777777" w:rsidR="00D24A4B" w:rsidRPr="00371EA9" w:rsidRDefault="00D24A4B" w:rsidP="00D24A4B">
      <w:pPr>
        <w:pStyle w:val="BodyText"/>
      </w:pPr>
      <w:r w:rsidRPr="00B00061">
        <w:t>The Datacenter Care core and deliverables are directly aligned to the SLA commitment of the Purchasing Entity IT organization. An identified opportunity should be reviewed in the context of the business situation and how the Datacenter Care service fits the customer IT service management needs and business objectives</w:t>
      </w:r>
      <w:r>
        <w:t xml:space="preserve">. </w:t>
      </w:r>
    </w:p>
    <w:p w14:paraId="1BB0D981" w14:textId="77777777" w:rsidR="00D24A4B" w:rsidRDefault="00D24A4B" w:rsidP="00D24A4B">
      <w:pPr>
        <w:pStyle w:val="Bullet1Double0"/>
        <w:ind w:left="720" w:hanging="720"/>
      </w:pPr>
      <w:r>
        <w:t>8.10.2</w:t>
      </w:r>
      <w:r>
        <w:tab/>
        <w:t xml:space="preserve">Offeror, as part of its proposal, must provide a sample of its Service Level Agreement, which should define the performance and other operating parameters within which the infrastructure must operate to meet IT System and Purchasing Entity’s requirements. </w:t>
      </w:r>
    </w:p>
    <w:p w14:paraId="6A94F337" w14:textId="77777777" w:rsidR="00D24A4B" w:rsidRDefault="00D24A4B" w:rsidP="00D24A4B">
      <w:pPr>
        <w:pStyle w:val="Response"/>
      </w:pPr>
      <w:r>
        <w:t>Response:</w:t>
      </w:r>
    </w:p>
    <w:p w14:paraId="6F437E83" w14:textId="2A4F93E1" w:rsidR="00D24A4B" w:rsidRDefault="00D24A4B" w:rsidP="00D24A4B">
      <w:pPr>
        <w:pStyle w:val="BodyText"/>
      </w:pPr>
      <w:r w:rsidRPr="00B87898">
        <w:t>The HPE GreenLake ProLiant for Microsoft Azure Stack Private Cloud is installed at the Purchasing Entity site and HPE works with the Purchasing Entity client to develop a joint Service Level Agreement. HPE Datacenter Care Service is HPE's most flexible support service and helps Purchasing Entity consistently meet their service level targets</w:t>
      </w:r>
      <w:r>
        <w:t xml:space="preserve"> and other business objectives, see Figure 25 for additional information. </w:t>
      </w:r>
      <w:r w:rsidRPr="00B87898">
        <w:t xml:space="preserve">The Datacenter Care core </w:t>
      </w:r>
      <w:r w:rsidRPr="00B87898">
        <w:lastRenderedPageBreak/>
        <w:t>and deliverables are directly aligned to the SLA commitment of the Purchasing Entity IT organization</w:t>
      </w:r>
      <w:r>
        <w:t xml:space="preserve">. HPE has included a sample template of the Statement of Work, </w:t>
      </w:r>
      <w:r w:rsidR="00273952">
        <w:t xml:space="preserve">HPE GreenLake SOW, in the supplier attachments </w:t>
      </w:r>
      <w:r>
        <w:t xml:space="preserve">of this bid response, providing additional information defining the performance and other operating parameters, and SLA’s. </w:t>
      </w:r>
      <w:r w:rsidRPr="000A670E">
        <w:t>Recognizing that not all Purchasing Entities’ have the same needs, HPE has developed a comprehensive and systematic way to understand the Purchasing Entity’s needs.</w:t>
      </w:r>
    </w:p>
    <w:p w14:paraId="0B595942" w14:textId="77777777" w:rsidR="00D24A4B" w:rsidRDefault="00D24A4B" w:rsidP="00D24A4B">
      <w:pPr>
        <w:pStyle w:val="FigureCaptionAuto"/>
      </w:pPr>
      <w:r>
        <w:t>HPE Integrated System Support</w:t>
      </w:r>
    </w:p>
    <w:p w14:paraId="7DC20194" w14:textId="77777777" w:rsidR="00D24A4B" w:rsidRPr="00371EA9" w:rsidRDefault="00D24A4B" w:rsidP="00D24A4B">
      <w:pPr>
        <w:pStyle w:val="BodyText"/>
      </w:pPr>
      <w:r>
        <w:rPr>
          <w:noProof/>
          <w:lang w:val="en-GB" w:eastAsia="en-GB"/>
        </w:rPr>
        <w:drawing>
          <wp:inline distT="0" distB="0" distL="0" distR="0" wp14:anchorId="55533B3D" wp14:editId="75146E6B">
            <wp:extent cx="5619750" cy="2886075"/>
            <wp:effectExtent l="0" t="0" r="0" b="9525"/>
            <wp:docPr id="42" name="Picture 42" descr="SLA graphic for NAS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LA graphic for NASPO"/>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19750" cy="2886075"/>
                    </a:xfrm>
                    <a:prstGeom prst="rect">
                      <a:avLst/>
                    </a:prstGeom>
                    <a:noFill/>
                    <a:ln>
                      <a:noFill/>
                    </a:ln>
                  </pic:spPr>
                </pic:pic>
              </a:graphicData>
            </a:graphic>
          </wp:inline>
        </w:drawing>
      </w:r>
    </w:p>
    <w:p w14:paraId="16C38B58" w14:textId="77777777" w:rsidR="00D24A4B" w:rsidRDefault="00D24A4B" w:rsidP="00D24A4B">
      <w:pPr>
        <w:pStyle w:val="Heading30"/>
      </w:pPr>
      <w:bookmarkStart w:id="41" w:name="_Toc514418398"/>
      <w:bookmarkStart w:id="42" w:name="_Toc518548598"/>
      <w:r>
        <w:t>8.11</w:t>
      </w:r>
      <w:r>
        <w:tab/>
        <w:t>(E) Data Disposal</w:t>
      </w:r>
      <w:bookmarkEnd w:id="41"/>
      <w:bookmarkEnd w:id="42"/>
    </w:p>
    <w:p w14:paraId="66C57D1E" w14:textId="77777777" w:rsidR="00D24A4B" w:rsidRPr="006873D0" w:rsidRDefault="00D24A4B" w:rsidP="00D24A4B">
      <w:pPr>
        <w:shd w:val="clear" w:color="auto" w:fill="E2EFD9" w:themeFill="accent6" w:themeFillTint="33"/>
        <w:spacing w:after="160" w:line="259" w:lineRule="auto"/>
        <w:rPr>
          <w:rFonts w:ascii="Arial" w:eastAsia="PMingLiU" w:hAnsi="Arial" w:cs="Times New Roman"/>
          <w:szCs w:val="20"/>
          <w:lang w:val="en-GB"/>
        </w:rPr>
      </w:pPr>
      <w:r w:rsidRPr="0077024E">
        <w:rPr>
          <w:rFonts w:ascii="Arial" w:eastAsia="PMingLiU" w:hAnsi="Arial" w:cs="Times New Roman"/>
          <w:szCs w:val="20"/>
          <w:lang w:val="en-GB"/>
        </w:rPr>
        <w:t>HPE Hybrid Cloud solution is a fully integrated system that delivers Azure compatible, software defined Infrastructure-as-a-Service (IaaS), Platform-as-a-Service (PaaS) on HPE hardware and Software-as-a-Service (SaaS) on Microsoft’ Azure public cloud is a superior offering for Purchasing Entity</w:t>
      </w:r>
      <w:r>
        <w:rPr>
          <w:rFonts w:ascii="Arial" w:eastAsia="PMingLiU" w:hAnsi="Arial" w:cs="Times New Roman"/>
          <w:szCs w:val="20"/>
          <w:lang w:val="en-GB"/>
        </w:rPr>
        <w:t>:</w:t>
      </w:r>
    </w:p>
    <w:p w14:paraId="415DD30C" w14:textId="77777777" w:rsidR="00D24A4B" w:rsidRPr="00BF42C7"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BF42C7">
        <w:rPr>
          <w:rFonts w:ascii="Arial" w:eastAsia="PMingLiU" w:hAnsi="Arial" w:cs="Times New Roman"/>
          <w:szCs w:val="20"/>
        </w:rPr>
        <w:t>HPE Data Sanitization Service provides skilled resources and tools to help ensure that data cannot be reconstructed or retrieved from retired HPE hard disk media.</w:t>
      </w:r>
    </w:p>
    <w:p w14:paraId="47764375" w14:textId="77777777" w:rsidR="00D24A4B" w:rsidRPr="006873D0"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BF42C7">
        <w:rPr>
          <w:rFonts w:ascii="Arial" w:eastAsia="PMingLiU" w:hAnsi="Arial" w:cs="Times New Roman"/>
          <w:szCs w:val="20"/>
        </w:rPr>
        <w:t>Reduce risk of unauthorized retrieval of important information from retired hard-disk media</w:t>
      </w:r>
    </w:p>
    <w:p w14:paraId="1F06C004" w14:textId="77777777" w:rsidR="00D24A4B" w:rsidRDefault="00D24A4B" w:rsidP="00D24A4B">
      <w:pPr>
        <w:pStyle w:val="BodyText0"/>
      </w:pPr>
      <w:r>
        <w:t>Specify your data disposal procedures and policies and destruction confirmation process.</w:t>
      </w:r>
    </w:p>
    <w:p w14:paraId="61010B21" w14:textId="77777777" w:rsidR="00D24A4B" w:rsidRDefault="00D24A4B" w:rsidP="00D24A4B">
      <w:pPr>
        <w:pStyle w:val="Response"/>
      </w:pPr>
      <w:r>
        <w:t>Response:</w:t>
      </w:r>
    </w:p>
    <w:p w14:paraId="0014DB3E" w14:textId="77777777" w:rsidR="00D24A4B" w:rsidRDefault="00D24A4B" w:rsidP="00D24A4B">
      <w:pPr>
        <w:pStyle w:val="BodyText"/>
      </w:pPr>
      <w:r>
        <w:t xml:space="preserve">The HPE GreenLake ProLiant for Microsoft Azure Stack Private Cloud is installed at the Purchasing Entity site and becomes the Purchasing Entity client’s responsibility for migration or disposal of data. Beginning 90 days before a System Term or Order is scheduled to expire, the Parties will: </w:t>
      </w:r>
    </w:p>
    <w:p w14:paraId="3B2B7C5E" w14:textId="77777777" w:rsidR="00D24A4B" w:rsidRDefault="00D24A4B" w:rsidP="00D24A4B">
      <w:pPr>
        <w:pStyle w:val="BodyText"/>
      </w:pPr>
      <w:r>
        <w:t>Establish an effective date of the System Term expiration or termination: Upon the expiration of the accompanying Statement of Work or any System(s) Term for any reason, HPE shall have the right to immediately de-install and remove the applicable Systems from Purchasing Entity locations. Purchasing Entity is responsible for removal or deletion of all data or Purchasing Entity-provided software or applications on Systems, and will ensure prompt removal or deletion of such prior to removal by HPE.</w:t>
      </w:r>
    </w:p>
    <w:p w14:paraId="0E4EE763" w14:textId="77777777" w:rsidR="00D24A4B" w:rsidRDefault="00D24A4B" w:rsidP="00D24A4B">
      <w:pPr>
        <w:pStyle w:val="BodyText"/>
      </w:pPr>
      <w:r w:rsidRPr="0077024E">
        <w:lastRenderedPageBreak/>
        <w:t>Included with the HPE GreenLake Flex Capacity Packages is HPE Defective Media Retention (DMR). HPE DMR lets you keep—and control—your disk and your data. The process closely resembles what happens in a standard service call. If a disk covered by the retention option malfunctions, you call Hewlett Packard Enterprise for support. An HPE support agent will diagnose your system problem, dispatch personnel (if needed) and provide a replacement disk/part.</w:t>
      </w:r>
    </w:p>
    <w:p w14:paraId="040F7BCA" w14:textId="77777777" w:rsidR="00D24A4B" w:rsidRDefault="00D24A4B" w:rsidP="00D24A4B">
      <w:pPr>
        <w:pStyle w:val="BodyText"/>
      </w:pPr>
      <w:r>
        <w:t>HPE offers data migration services to assist with moving the customer’s data from the System to another solution, as a Value Add Service, when needed.</w:t>
      </w:r>
    </w:p>
    <w:p w14:paraId="610C980C" w14:textId="77777777" w:rsidR="00D24A4B" w:rsidRPr="008E3F93" w:rsidRDefault="00D24A4B" w:rsidP="00D24A4B">
      <w:pPr>
        <w:pStyle w:val="BodyText"/>
        <w:rPr>
          <w:b/>
        </w:rPr>
      </w:pPr>
      <w:r w:rsidRPr="008E3F93">
        <w:rPr>
          <w:b/>
        </w:rPr>
        <w:t xml:space="preserve">Defective Media </w:t>
      </w:r>
      <w:r>
        <w:rPr>
          <w:b/>
        </w:rPr>
        <w:t>Retention (</w:t>
      </w:r>
      <w:r w:rsidRPr="008E3F93">
        <w:rPr>
          <w:b/>
        </w:rPr>
        <w:t>DMR)</w:t>
      </w:r>
    </w:p>
    <w:p w14:paraId="3B31EFE2" w14:textId="77777777" w:rsidR="00D24A4B" w:rsidRDefault="00D24A4B" w:rsidP="00D24A4B">
      <w:pPr>
        <w:pStyle w:val="BodyText"/>
      </w:pPr>
      <w:r>
        <w:t xml:space="preserve">HPE Defective Material Retention (DMR) allows you to keep data retentive components if defective and requires replacement while under support. The Service provides the ability to reduce risk, maintain control and meet compliance regulations like HIPAA, Sarbanes-Oxley and EU Data Privacy Directive by ensuring secure data when replacing failed data retentive components. </w:t>
      </w:r>
    </w:p>
    <w:p w14:paraId="05CC7DAF" w14:textId="77777777" w:rsidR="00D24A4B" w:rsidRDefault="00D24A4B" w:rsidP="00D24A4B">
      <w:pPr>
        <w:pStyle w:val="Bullet1Double"/>
        <w:numPr>
          <w:ilvl w:val="0"/>
          <w:numId w:val="9"/>
        </w:numPr>
        <w:tabs>
          <w:tab w:val="clear" w:pos="0"/>
        </w:tabs>
        <w:ind w:left="360" w:hanging="360"/>
      </w:pPr>
      <w:r>
        <w:t>This service covers devices beyond the drives that are covered by Defective Media Retention (DMR) today. DMR only allows customer to retain drives. Examples include memory, system boards, data-retentive network components, etc.</w:t>
      </w:r>
    </w:p>
    <w:p w14:paraId="10FE481E" w14:textId="77777777" w:rsidR="00D24A4B" w:rsidRDefault="00D24A4B" w:rsidP="00D24A4B">
      <w:pPr>
        <w:pStyle w:val="Bullet1Double"/>
        <w:numPr>
          <w:ilvl w:val="0"/>
          <w:numId w:val="9"/>
        </w:numPr>
        <w:tabs>
          <w:tab w:val="clear" w:pos="0"/>
        </w:tabs>
        <w:ind w:left="360" w:hanging="360"/>
      </w:pPr>
      <w:r>
        <w:t>Documented record of device being removed from service eases compliance procedures.</w:t>
      </w:r>
    </w:p>
    <w:p w14:paraId="06215A74" w14:textId="77777777" w:rsidR="00D24A4B" w:rsidRDefault="00D24A4B" w:rsidP="00D24A4B">
      <w:pPr>
        <w:pStyle w:val="Bullet1Double"/>
        <w:numPr>
          <w:ilvl w:val="0"/>
          <w:numId w:val="9"/>
        </w:numPr>
        <w:tabs>
          <w:tab w:val="clear" w:pos="0"/>
        </w:tabs>
        <w:ind w:left="360" w:hanging="360"/>
      </w:pPr>
      <w:r>
        <w:t>Replenishment parts are provided without additional cost—with no need to return failed components.</w:t>
      </w:r>
    </w:p>
    <w:p w14:paraId="4897C66B" w14:textId="77777777" w:rsidR="00D24A4B" w:rsidRDefault="00D24A4B" w:rsidP="00D24A4B">
      <w:pPr>
        <w:pStyle w:val="Bullet1Double"/>
        <w:numPr>
          <w:ilvl w:val="0"/>
          <w:numId w:val="9"/>
        </w:numPr>
        <w:tabs>
          <w:tab w:val="clear" w:pos="0"/>
        </w:tabs>
        <w:ind w:left="360" w:hanging="360"/>
      </w:pPr>
      <w:r>
        <w:t>Confidential data never leaves your control because you retain possession of the failed components—memory, CPU, network components, removable media and more—and you are responsible for their disposal.</w:t>
      </w:r>
    </w:p>
    <w:p w14:paraId="01A3CC25" w14:textId="77777777" w:rsidR="00D24A4B" w:rsidRPr="008E3F93" w:rsidRDefault="00D24A4B" w:rsidP="00D24A4B">
      <w:pPr>
        <w:pStyle w:val="BodyText"/>
        <w:keepNext/>
        <w:rPr>
          <w:b/>
        </w:rPr>
      </w:pPr>
      <w:r w:rsidRPr="008E3F93">
        <w:rPr>
          <w:b/>
        </w:rPr>
        <w:t>Data Disposal Services</w:t>
      </w:r>
    </w:p>
    <w:p w14:paraId="03DB4FAF" w14:textId="77777777" w:rsidR="00D24A4B" w:rsidRDefault="00D24A4B" w:rsidP="00D24A4B">
      <w:pPr>
        <w:pStyle w:val="BodyText"/>
        <w:keepNext/>
      </w:pPr>
      <w:r>
        <w:t>HPE</w:t>
      </w:r>
      <w:r w:rsidRPr="001E1EE5">
        <w:t xml:space="preserve"> Data Sanitization Service provides skilled resources and tools to help ensure that data cannot be reconstructed or retrieved from retired </w:t>
      </w:r>
      <w:r>
        <w:t>HPE</w:t>
      </w:r>
      <w:r w:rsidRPr="001E1EE5">
        <w:t xml:space="preserve"> hard disk media. Delivered by an </w:t>
      </w:r>
      <w:r>
        <w:t>HPE</w:t>
      </w:r>
      <w:r w:rsidRPr="001E1EE5">
        <w:t>-certified storage specialist, the service provides onsite data destruction through the use of an appliance and software</w:t>
      </w:r>
      <w:r>
        <w:t>. These services include the following:</w:t>
      </w:r>
    </w:p>
    <w:p w14:paraId="0F8C8E72" w14:textId="77777777" w:rsidR="00D24A4B" w:rsidRPr="001E1EE5" w:rsidRDefault="00D24A4B" w:rsidP="00D24A4B">
      <w:pPr>
        <w:pStyle w:val="Bullet1Double"/>
        <w:numPr>
          <w:ilvl w:val="0"/>
          <w:numId w:val="9"/>
        </w:numPr>
        <w:tabs>
          <w:tab w:val="clear" w:pos="0"/>
        </w:tabs>
        <w:ind w:left="360" w:hanging="360"/>
      </w:pPr>
      <w:r w:rsidRPr="001E1EE5">
        <w:t xml:space="preserve">Comprehensive support for data destruction and eradication –  with onsite data destruction through the use of an appliance and software </w:t>
      </w:r>
    </w:p>
    <w:p w14:paraId="1E416E49" w14:textId="77777777" w:rsidR="00D24A4B" w:rsidRPr="001E1EE5" w:rsidRDefault="00D24A4B" w:rsidP="00D24A4B">
      <w:pPr>
        <w:pStyle w:val="Bullet1Double"/>
        <w:numPr>
          <w:ilvl w:val="0"/>
          <w:numId w:val="9"/>
        </w:numPr>
        <w:tabs>
          <w:tab w:val="clear" w:pos="0"/>
        </w:tabs>
        <w:ind w:left="360" w:hanging="360"/>
      </w:pPr>
      <w:r w:rsidRPr="001E1EE5">
        <w:t>Protected - reduce risk of unauthorized retrieval of important information from retired hard-disk media</w:t>
      </w:r>
    </w:p>
    <w:p w14:paraId="4F30A9F0" w14:textId="77777777" w:rsidR="00D24A4B" w:rsidRPr="001E1EE5" w:rsidRDefault="00D24A4B" w:rsidP="00D24A4B">
      <w:pPr>
        <w:pStyle w:val="Bullet1Double"/>
        <w:numPr>
          <w:ilvl w:val="0"/>
          <w:numId w:val="9"/>
        </w:numPr>
        <w:tabs>
          <w:tab w:val="clear" w:pos="0"/>
        </w:tabs>
        <w:ind w:left="360" w:hanging="360"/>
      </w:pPr>
      <w:r w:rsidRPr="001E1EE5">
        <w:t xml:space="preserve">Verifiable - comply with data privacy requirements through data removal verification and acceptance </w:t>
      </w:r>
    </w:p>
    <w:p w14:paraId="18F429D1" w14:textId="77777777" w:rsidR="00D24A4B" w:rsidRDefault="00D24A4B" w:rsidP="00D24A4B">
      <w:pPr>
        <w:pStyle w:val="Bullet1Double"/>
        <w:numPr>
          <w:ilvl w:val="0"/>
          <w:numId w:val="9"/>
        </w:numPr>
        <w:tabs>
          <w:tab w:val="clear" w:pos="0"/>
        </w:tabs>
        <w:ind w:left="360" w:hanging="360"/>
      </w:pPr>
      <w:r w:rsidRPr="001E1EE5">
        <w:t>Flexible – remove data from disk media as an alternative to physical hardware destruction</w:t>
      </w:r>
    </w:p>
    <w:p w14:paraId="69F4F14B" w14:textId="77777777" w:rsidR="00D24A4B" w:rsidRDefault="00D24A4B" w:rsidP="00D24A4B">
      <w:pPr>
        <w:pStyle w:val="Bullet1Double"/>
        <w:numPr>
          <w:ilvl w:val="0"/>
          <w:numId w:val="9"/>
        </w:numPr>
        <w:tabs>
          <w:tab w:val="clear" w:pos="0"/>
        </w:tabs>
        <w:ind w:left="360" w:hanging="360"/>
      </w:pPr>
      <w:r w:rsidRPr="0068428C">
        <w:t xml:space="preserve">Provide an alternative to physical hardware destruction by providing procedures for removing data from disk media </w:t>
      </w:r>
    </w:p>
    <w:p w14:paraId="74D9B730" w14:textId="77777777" w:rsidR="00D24A4B" w:rsidRDefault="00D24A4B" w:rsidP="00D24A4B">
      <w:pPr>
        <w:pStyle w:val="Bullet1Double"/>
        <w:numPr>
          <w:ilvl w:val="0"/>
          <w:numId w:val="9"/>
        </w:numPr>
        <w:tabs>
          <w:tab w:val="clear" w:pos="0"/>
        </w:tabs>
        <w:ind w:left="360" w:hanging="360"/>
      </w:pPr>
      <w:r w:rsidRPr="0068428C">
        <w:t xml:space="preserve">Provide data removal verification and acceptance testing </w:t>
      </w:r>
    </w:p>
    <w:p w14:paraId="5F55B0AF" w14:textId="77777777" w:rsidR="00D24A4B" w:rsidRDefault="00D24A4B" w:rsidP="00D24A4B">
      <w:pPr>
        <w:pStyle w:val="Bullet1Double"/>
        <w:numPr>
          <w:ilvl w:val="0"/>
          <w:numId w:val="9"/>
        </w:numPr>
        <w:tabs>
          <w:tab w:val="clear" w:pos="0"/>
        </w:tabs>
        <w:ind w:left="360" w:hanging="360"/>
      </w:pPr>
      <w:r w:rsidRPr="0068428C">
        <w:t xml:space="preserve">Comply with the data privacy requirement that media containing sensitive data be overwritten or sanitized prior to recycling, reusing, or removing of data storage media </w:t>
      </w:r>
    </w:p>
    <w:p w14:paraId="75681A57" w14:textId="77777777" w:rsidR="00D24A4B" w:rsidRPr="0068428C" w:rsidRDefault="00D24A4B" w:rsidP="00D24A4B">
      <w:pPr>
        <w:pStyle w:val="Bullet1Double"/>
        <w:numPr>
          <w:ilvl w:val="0"/>
          <w:numId w:val="9"/>
        </w:numPr>
        <w:tabs>
          <w:tab w:val="clear" w:pos="0"/>
        </w:tabs>
        <w:ind w:left="360" w:hanging="360"/>
      </w:pPr>
      <w:r>
        <w:t xml:space="preserve">Provide customer with a </w:t>
      </w:r>
      <w:r w:rsidRPr="0068428C">
        <w:t>certified documented report containing the disk drive model and serial number, level of sanitization performed, and pass/fa</w:t>
      </w:r>
      <w:r>
        <w:t>il status of the disk</w:t>
      </w:r>
    </w:p>
    <w:p w14:paraId="35C7639B" w14:textId="77777777" w:rsidR="00D24A4B" w:rsidRDefault="00D24A4B" w:rsidP="00D24A4B">
      <w:pPr>
        <w:pStyle w:val="Heading30"/>
      </w:pPr>
      <w:bookmarkStart w:id="43" w:name="_Toc514418399"/>
      <w:bookmarkStart w:id="44" w:name="_Toc518548599"/>
      <w:r>
        <w:lastRenderedPageBreak/>
        <w:t>8.12</w:t>
      </w:r>
      <w:r>
        <w:tab/>
        <w:t>(E) Performance Measures and Reporting</w:t>
      </w:r>
      <w:bookmarkEnd w:id="43"/>
      <w:bookmarkEnd w:id="44"/>
    </w:p>
    <w:p w14:paraId="3D450FA5" w14:textId="77777777" w:rsidR="00D24A4B" w:rsidRPr="007C3BBB" w:rsidRDefault="00D24A4B" w:rsidP="00D24A4B">
      <w:pPr>
        <w:keepNext/>
        <w:shd w:val="clear" w:color="auto" w:fill="E2EFD9" w:themeFill="accent6" w:themeFillTint="33"/>
        <w:spacing w:after="120" w:line="240" w:lineRule="auto"/>
        <w:rPr>
          <w:rFonts w:ascii="Arial" w:eastAsia="PMingLiU" w:hAnsi="Arial" w:cs="Times New Roman"/>
          <w:szCs w:val="20"/>
        </w:rPr>
      </w:pPr>
      <w:r w:rsidRPr="007C3BBB">
        <w:rPr>
          <w:rFonts w:ascii="Arial" w:eastAsia="PMingLiU" w:hAnsi="Arial" w:cs="Times New Roman"/>
          <w:szCs w:val="20"/>
          <w:lang w:val="en-GB"/>
        </w:rPr>
        <w:t xml:space="preserve">HPE </w:t>
      </w:r>
      <w:r>
        <w:rPr>
          <w:rFonts w:ascii="Arial" w:eastAsia="PMingLiU" w:hAnsi="Arial" w:cs="Times New Roman"/>
          <w:szCs w:val="20"/>
          <w:lang w:val="en-GB"/>
        </w:rPr>
        <w:t>hybrid cloud</w:t>
      </w:r>
      <w:r w:rsidRPr="007C3BBB">
        <w:rPr>
          <w:rFonts w:ascii="Arial" w:eastAsia="PMingLiU" w:hAnsi="Arial" w:cs="Times New Roman"/>
          <w:szCs w:val="20"/>
          <w:lang w:val="en-GB"/>
        </w:rPr>
        <w:t xml:space="preserve"> solution is a fully integrated system that delivers Azure compatible, software defined Infrastructure-as-a-Service (IaaS), Platform-as-a-Service (PaaS) on HPE hardware and Software-as-a-Service (SaaS) on Microsoft’ Azure public cloud is a superior offering for Purchasing Entity</w:t>
      </w:r>
      <w:r>
        <w:rPr>
          <w:rFonts w:ascii="Arial" w:eastAsia="PMingLiU" w:hAnsi="Arial" w:cs="Times New Roman"/>
          <w:szCs w:val="20"/>
          <w:lang w:val="en-GB"/>
        </w:rPr>
        <w:t>.</w:t>
      </w:r>
    </w:p>
    <w:p w14:paraId="1D75FAB8" w14:textId="77777777" w:rsidR="00D24A4B" w:rsidRPr="006873D0"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F679B7">
        <w:rPr>
          <w:rFonts w:ascii="Arial" w:eastAsia="PMingLiU" w:hAnsi="Arial" w:cs="Times New Roman"/>
          <w:szCs w:val="20"/>
        </w:rPr>
        <w:t>HPE will assign a Critical Event Manager (CEM)</w:t>
      </w:r>
    </w:p>
    <w:p w14:paraId="52202D26" w14:textId="77777777" w:rsidR="00D24A4B" w:rsidRPr="006873D0"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F679B7">
        <w:rPr>
          <w:rFonts w:ascii="Arial" w:eastAsia="PMingLiU" w:hAnsi="Arial" w:cs="Times New Roman"/>
          <w:szCs w:val="20"/>
        </w:rPr>
        <w:t>HPE Datacenter Care Service is HPE's most flexible support service and helps Purchasing Entity consistently meet their service level targets</w:t>
      </w:r>
    </w:p>
    <w:p w14:paraId="3770EF82" w14:textId="77777777" w:rsidR="00D24A4B" w:rsidRPr="006873D0"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F679B7">
        <w:rPr>
          <w:rFonts w:ascii="Arial" w:eastAsia="PMingLiU" w:hAnsi="Arial" w:cs="Times New Roman"/>
          <w:szCs w:val="20"/>
        </w:rPr>
        <w:t>Purchasing Entity access to a dedicated HPE phone number; 24 hours per day, 7 days per week.</w:t>
      </w:r>
    </w:p>
    <w:p w14:paraId="02A12CDD" w14:textId="77777777" w:rsidR="00D24A4B" w:rsidRDefault="00D24A4B" w:rsidP="00D24A4B">
      <w:pPr>
        <w:pStyle w:val="Bullet1Double0"/>
        <w:shd w:val="clear" w:color="auto" w:fill="DBDCDD"/>
        <w:ind w:left="720" w:hanging="720"/>
      </w:pPr>
      <w:r>
        <w:t>8.12.1</w:t>
      </w:r>
      <w:r>
        <w:tab/>
        <w:t>Describe your ability to guarantee reliability and uptime greater than 99.5%. Additional points will be awarded for 99.9% or greater availability.</w:t>
      </w:r>
    </w:p>
    <w:p w14:paraId="7C42DD91" w14:textId="77777777" w:rsidR="00D24A4B" w:rsidRDefault="00D24A4B" w:rsidP="00D24A4B">
      <w:pPr>
        <w:pStyle w:val="Response"/>
      </w:pPr>
      <w:r>
        <w:t>Response:</w:t>
      </w:r>
    </w:p>
    <w:p w14:paraId="2C3B083A" w14:textId="77777777" w:rsidR="00D24A4B" w:rsidRDefault="00D24A4B" w:rsidP="00D24A4B">
      <w:pPr>
        <w:pStyle w:val="BodyText"/>
        <w:rPr>
          <w:rFonts w:eastAsia="Times New Roman" w:cs="Arial"/>
          <w:sz w:val="20"/>
          <w:lang w:val="en-GB"/>
        </w:rPr>
      </w:pPr>
      <w:r>
        <w:t>HPE’s GreenLake Flex Capacity Packages reduces maintenance events through technology which addresses solution single point of failure through multiple power supplies, fan, and fabric modules to ensure resilience. In the event a maintenance event does occur and support is required, the HPE solution will provide NASPO with highly trained and experienced resources for 24x7x365 problem escalation/resolution support for hardware, operating system software, and capacity management. HPE provides 99.95% - 99.999% system availability today on over 3,600 DoD systems.</w:t>
      </w:r>
    </w:p>
    <w:p w14:paraId="6FB76FE9" w14:textId="77777777" w:rsidR="00D24A4B" w:rsidRDefault="00D24A4B" w:rsidP="00D24A4B">
      <w:pPr>
        <w:pStyle w:val="BodyText"/>
      </w:pPr>
      <w:r>
        <w:t xml:space="preserve">The HPE GreenLake Flex Capacity Packages are installed at the Purchasing Entity site and HPE works with the Purchasing Entity client to develop a joint Service Level Agreement. HPE Datacenter Care Service is HPE's most flexible support service and helps Purchasing Entity consistently meet their service level targets and other business objectives. The Datacenter Care core and deliverables are directly aligned to the SLA commitment of the Purchasing Entity IT organization. An identified opportunity should be reviewed in the context of the business situation and how the Datacenter Care service fits the Purchasing Entity IT service management needs and business objectives. </w:t>
      </w:r>
    </w:p>
    <w:p w14:paraId="6B4D2B7D" w14:textId="77777777" w:rsidR="00D24A4B" w:rsidRDefault="00D24A4B" w:rsidP="00D24A4B">
      <w:pPr>
        <w:pStyle w:val="BodyText"/>
      </w:pPr>
      <w:r>
        <w:t>Hybrid cloud services includes support for Microsoft Azure services and public cloud services for the management of Virtual Machines.</w:t>
      </w:r>
    </w:p>
    <w:p w14:paraId="0A8A3F58" w14:textId="77777777" w:rsidR="00D24A4B" w:rsidRDefault="00D24A4B" w:rsidP="00D24A4B">
      <w:pPr>
        <w:pStyle w:val="BodyText"/>
        <w:keepNext/>
      </w:pPr>
      <w:r>
        <w:t>Management Hybrid cloud services consist of the following activities:</w:t>
      </w:r>
    </w:p>
    <w:p w14:paraId="74ACB9DB" w14:textId="77777777" w:rsidR="00D24A4B" w:rsidRDefault="00D24A4B" w:rsidP="00D24A4B">
      <w:pPr>
        <w:pStyle w:val="TableCaptionAuto"/>
      </w:pPr>
      <w:r>
        <w:t>Management Hybrid Cloud Services</w:t>
      </w:r>
    </w:p>
    <w:tbl>
      <w:tblPr>
        <w:tblStyle w:val="TableGrid"/>
        <w:tblW w:w="8858" w:type="dxa"/>
        <w:tblInd w:w="14" w:type="dxa"/>
        <w:tblLayout w:type="fixed"/>
        <w:tblCellMar>
          <w:top w:w="43" w:type="dxa"/>
          <w:left w:w="43" w:type="dxa"/>
          <w:bottom w:w="43" w:type="dxa"/>
          <w:right w:w="43" w:type="dxa"/>
        </w:tblCellMar>
        <w:tblLook w:val="04A0" w:firstRow="1" w:lastRow="0" w:firstColumn="1" w:lastColumn="0" w:noHBand="0" w:noVBand="1"/>
      </w:tblPr>
      <w:tblGrid>
        <w:gridCol w:w="5741"/>
        <w:gridCol w:w="1530"/>
        <w:gridCol w:w="1587"/>
      </w:tblGrid>
      <w:tr w:rsidR="00D24A4B" w14:paraId="1F79ADB6" w14:textId="77777777" w:rsidTr="00C66137">
        <w:trPr>
          <w:tblHeader/>
        </w:trPr>
        <w:tc>
          <w:tcPr>
            <w:tcW w:w="5741" w:type="dxa"/>
            <w:shd w:val="clear" w:color="auto" w:fill="00B388"/>
          </w:tcPr>
          <w:p w14:paraId="2162EAD1" w14:textId="77777777" w:rsidR="00D24A4B" w:rsidRDefault="00D24A4B" w:rsidP="00C66137">
            <w:pPr>
              <w:pStyle w:val="TableHeading10"/>
            </w:pPr>
            <w:r>
              <w:t>Service Activity</w:t>
            </w:r>
          </w:p>
        </w:tc>
        <w:tc>
          <w:tcPr>
            <w:tcW w:w="1530" w:type="dxa"/>
            <w:shd w:val="clear" w:color="auto" w:fill="00B388"/>
          </w:tcPr>
          <w:p w14:paraId="6AD708E6" w14:textId="77777777" w:rsidR="00D24A4B" w:rsidRDefault="00D24A4B" w:rsidP="00C66137">
            <w:pPr>
              <w:pStyle w:val="TableHeading10"/>
            </w:pPr>
            <w:r>
              <w:t>Customer</w:t>
            </w:r>
          </w:p>
        </w:tc>
        <w:tc>
          <w:tcPr>
            <w:tcW w:w="1587" w:type="dxa"/>
            <w:shd w:val="clear" w:color="auto" w:fill="00B388"/>
          </w:tcPr>
          <w:p w14:paraId="567D4981" w14:textId="77777777" w:rsidR="00D24A4B" w:rsidRDefault="00D24A4B" w:rsidP="00C66137">
            <w:pPr>
              <w:pStyle w:val="TableHeading10"/>
            </w:pPr>
            <w:r>
              <w:t>HPE</w:t>
            </w:r>
          </w:p>
        </w:tc>
      </w:tr>
      <w:tr w:rsidR="00D24A4B" w14:paraId="683A2321" w14:textId="77777777" w:rsidTr="00C66137">
        <w:tc>
          <w:tcPr>
            <w:tcW w:w="5741" w:type="dxa"/>
          </w:tcPr>
          <w:p w14:paraId="1A09DC69" w14:textId="77777777" w:rsidR="00D24A4B" w:rsidRDefault="00D24A4B" w:rsidP="00C66137">
            <w:pPr>
              <w:pStyle w:val="TableText10Single"/>
            </w:pPr>
            <w:r w:rsidRPr="00B47ECC">
              <w:t>Customer Onboarding (customer setup, tenant creation, portal setup)</w:t>
            </w:r>
          </w:p>
        </w:tc>
        <w:tc>
          <w:tcPr>
            <w:tcW w:w="1530" w:type="dxa"/>
          </w:tcPr>
          <w:p w14:paraId="075971F4" w14:textId="77777777" w:rsidR="00D24A4B" w:rsidRDefault="00D24A4B" w:rsidP="00C66137">
            <w:pPr>
              <w:pStyle w:val="TableText10Single"/>
            </w:pPr>
            <w:r w:rsidRPr="00B47ECC">
              <w:t>C/I</w:t>
            </w:r>
          </w:p>
        </w:tc>
        <w:tc>
          <w:tcPr>
            <w:tcW w:w="1587" w:type="dxa"/>
          </w:tcPr>
          <w:p w14:paraId="0D754DE6" w14:textId="77777777" w:rsidR="00D24A4B" w:rsidRDefault="00D24A4B" w:rsidP="00C66137">
            <w:pPr>
              <w:pStyle w:val="TableText10Single"/>
            </w:pPr>
            <w:r w:rsidRPr="00B47ECC">
              <w:t>A/R</w:t>
            </w:r>
          </w:p>
        </w:tc>
      </w:tr>
      <w:tr w:rsidR="00D24A4B" w14:paraId="11C0D8CE" w14:textId="77777777" w:rsidTr="00C66137">
        <w:tc>
          <w:tcPr>
            <w:tcW w:w="5741" w:type="dxa"/>
          </w:tcPr>
          <w:p w14:paraId="19629A22" w14:textId="77777777" w:rsidR="00D24A4B" w:rsidRDefault="00D24A4B" w:rsidP="00C66137">
            <w:pPr>
              <w:pStyle w:val="TableText10Single"/>
            </w:pPr>
            <w:r w:rsidRPr="00B47ECC">
              <w:t xml:space="preserve">Basic Single Point of Contact “Break/Fix” Azure Cloud Service Support </w:t>
            </w:r>
          </w:p>
        </w:tc>
        <w:tc>
          <w:tcPr>
            <w:tcW w:w="1530" w:type="dxa"/>
          </w:tcPr>
          <w:p w14:paraId="76BFC877" w14:textId="77777777" w:rsidR="00D24A4B" w:rsidRDefault="00D24A4B" w:rsidP="00C66137">
            <w:pPr>
              <w:pStyle w:val="TableText10Single"/>
            </w:pPr>
            <w:r w:rsidRPr="00B47ECC">
              <w:t>C/I</w:t>
            </w:r>
          </w:p>
        </w:tc>
        <w:tc>
          <w:tcPr>
            <w:tcW w:w="1587" w:type="dxa"/>
          </w:tcPr>
          <w:p w14:paraId="367A6D53" w14:textId="77777777" w:rsidR="00D24A4B" w:rsidRDefault="00D24A4B" w:rsidP="00C66137">
            <w:pPr>
              <w:pStyle w:val="TableText10Single"/>
            </w:pPr>
            <w:r w:rsidRPr="00B47ECC">
              <w:t>A/R</w:t>
            </w:r>
          </w:p>
        </w:tc>
      </w:tr>
      <w:tr w:rsidR="00D24A4B" w14:paraId="636F67E1" w14:textId="77777777" w:rsidTr="00C66137">
        <w:tc>
          <w:tcPr>
            <w:tcW w:w="5741" w:type="dxa"/>
          </w:tcPr>
          <w:p w14:paraId="2E4A0D89" w14:textId="77777777" w:rsidR="00D24A4B" w:rsidRDefault="00D24A4B" w:rsidP="00C66137">
            <w:pPr>
              <w:pStyle w:val="TableText10Single"/>
            </w:pPr>
            <w:r w:rsidRPr="00B47ECC">
              <w:t>Create and Provision Azure accounts/users</w:t>
            </w:r>
          </w:p>
        </w:tc>
        <w:tc>
          <w:tcPr>
            <w:tcW w:w="1530" w:type="dxa"/>
          </w:tcPr>
          <w:p w14:paraId="69F60B2C" w14:textId="77777777" w:rsidR="00D24A4B" w:rsidRDefault="00D24A4B" w:rsidP="00C66137">
            <w:pPr>
              <w:pStyle w:val="TableText10Single"/>
            </w:pPr>
            <w:r w:rsidRPr="00B47ECC">
              <w:t>C/I</w:t>
            </w:r>
          </w:p>
        </w:tc>
        <w:tc>
          <w:tcPr>
            <w:tcW w:w="1587" w:type="dxa"/>
          </w:tcPr>
          <w:p w14:paraId="1F177EFD" w14:textId="77777777" w:rsidR="00D24A4B" w:rsidRDefault="00D24A4B" w:rsidP="00C66137">
            <w:pPr>
              <w:pStyle w:val="TableText10Single"/>
            </w:pPr>
            <w:r w:rsidRPr="00B47ECC">
              <w:t>A/R</w:t>
            </w:r>
          </w:p>
        </w:tc>
      </w:tr>
      <w:tr w:rsidR="00D24A4B" w14:paraId="12D3C1AA" w14:textId="77777777" w:rsidTr="00C66137">
        <w:tc>
          <w:tcPr>
            <w:tcW w:w="5741" w:type="dxa"/>
          </w:tcPr>
          <w:p w14:paraId="43F116E1" w14:textId="77777777" w:rsidR="00D24A4B" w:rsidRDefault="00D24A4B" w:rsidP="00C66137">
            <w:pPr>
              <w:pStyle w:val="TableText10Single"/>
            </w:pPr>
            <w:r w:rsidRPr="00B47ECC">
              <w:t>Establish Administrative Access to VM’s</w:t>
            </w:r>
          </w:p>
        </w:tc>
        <w:tc>
          <w:tcPr>
            <w:tcW w:w="1530" w:type="dxa"/>
          </w:tcPr>
          <w:p w14:paraId="13077E0C" w14:textId="77777777" w:rsidR="00D24A4B" w:rsidRDefault="00D24A4B" w:rsidP="00C66137">
            <w:pPr>
              <w:pStyle w:val="TableText10Single"/>
            </w:pPr>
            <w:r w:rsidRPr="00B47ECC">
              <w:t>C/I</w:t>
            </w:r>
          </w:p>
        </w:tc>
        <w:tc>
          <w:tcPr>
            <w:tcW w:w="1587" w:type="dxa"/>
          </w:tcPr>
          <w:p w14:paraId="217B50B4" w14:textId="77777777" w:rsidR="00D24A4B" w:rsidRDefault="00D24A4B" w:rsidP="00C66137">
            <w:pPr>
              <w:pStyle w:val="TableText10Single"/>
            </w:pPr>
            <w:r w:rsidRPr="00B47ECC">
              <w:t>A/R</w:t>
            </w:r>
          </w:p>
        </w:tc>
      </w:tr>
      <w:tr w:rsidR="00D24A4B" w14:paraId="3324A98F" w14:textId="77777777" w:rsidTr="00C66137">
        <w:tc>
          <w:tcPr>
            <w:tcW w:w="5741" w:type="dxa"/>
          </w:tcPr>
          <w:p w14:paraId="60B95A0B" w14:textId="77777777" w:rsidR="00D24A4B" w:rsidRDefault="00D24A4B" w:rsidP="00C66137">
            <w:pPr>
              <w:pStyle w:val="TableText10Single"/>
            </w:pPr>
            <w:r w:rsidRPr="00B47ECC">
              <w:t>Provision VM’s</w:t>
            </w:r>
          </w:p>
        </w:tc>
        <w:tc>
          <w:tcPr>
            <w:tcW w:w="1530" w:type="dxa"/>
          </w:tcPr>
          <w:p w14:paraId="41C0362E" w14:textId="77777777" w:rsidR="00D24A4B" w:rsidRDefault="00D24A4B" w:rsidP="00C66137">
            <w:pPr>
              <w:pStyle w:val="TableText10Single"/>
            </w:pPr>
            <w:r w:rsidRPr="00B47ECC">
              <w:t>C/I</w:t>
            </w:r>
          </w:p>
        </w:tc>
        <w:tc>
          <w:tcPr>
            <w:tcW w:w="1587" w:type="dxa"/>
          </w:tcPr>
          <w:p w14:paraId="05EB68EB" w14:textId="77777777" w:rsidR="00D24A4B" w:rsidRDefault="00D24A4B" w:rsidP="00C66137">
            <w:pPr>
              <w:pStyle w:val="TableText10Single"/>
            </w:pPr>
            <w:r w:rsidRPr="00B47ECC">
              <w:t>A/R</w:t>
            </w:r>
          </w:p>
        </w:tc>
      </w:tr>
      <w:tr w:rsidR="00D24A4B" w14:paraId="0EF74F1B" w14:textId="77777777" w:rsidTr="00C66137">
        <w:tc>
          <w:tcPr>
            <w:tcW w:w="5741" w:type="dxa"/>
          </w:tcPr>
          <w:p w14:paraId="2089908B" w14:textId="77777777" w:rsidR="00D24A4B" w:rsidRDefault="00D24A4B" w:rsidP="00C66137">
            <w:pPr>
              <w:pStyle w:val="TableText10Single"/>
            </w:pPr>
            <w:r w:rsidRPr="00B47ECC">
              <w:t>Resize VM’s</w:t>
            </w:r>
          </w:p>
        </w:tc>
        <w:tc>
          <w:tcPr>
            <w:tcW w:w="1530" w:type="dxa"/>
          </w:tcPr>
          <w:p w14:paraId="587AE3CF" w14:textId="77777777" w:rsidR="00D24A4B" w:rsidRDefault="00D24A4B" w:rsidP="00C66137">
            <w:pPr>
              <w:pStyle w:val="TableText10Single"/>
            </w:pPr>
            <w:r w:rsidRPr="00B47ECC">
              <w:t>C/I</w:t>
            </w:r>
          </w:p>
        </w:tc>
        <w:tc>
          <w:tcPr>
            <w:tcW w:w="1587" w:type="dxa"/>
          </w:tcPr>
          <w:p w14:paraId="7D8268B1" w14:textId="77777777" w:rsidR="00D24A4B" w:rsidRDefault="00D24A4B" w:rsidP="00C66137">
            <w:pPr>
              <w:pStyle w:val="TableText10Single"/>
            </w:pPr>
            <w:r w:rsidRPr="00B47ECC">
              <w:t>A/R</w:t>
            </w:r>
          </w:p>
        </w:tc>
      </w:tr>
      <w:tr w:rsidR="00D24A4B" w14:paraId="39C4582B" w14:textId="77777777" w:rsidTr="00C66137">
        <w:tc>
          <w:tcPr>
            <w:tcW w:w="5741" w:type="dxa"/>
          </w:tcPr>
          <w:p w14:paraId="40A27B93" w14:textId="77777777" w:rsidR="00D24A4B" w:rsidRDefault="00D24A4B" w:rsidP="00C66137">
            <w:pPr>
              <w:pStyle w:val="TableText10Single"/>
            </w:pPr>
            <w:r w:rsidRPr="00B47ECC">
              <w:t>Monitor VM’s</w:t>
            </w:r>
          </w:p>
        </w:tc>
        <w:tc>
          <w:tcPr>
            <w:tcW w:w="1530" w:type="dxa"/>
          </w:tcPr>
          <w:p w14:paraId="346B9C28" w14:textId="77777777" w:rsidR="00D24A4B" w:rsidRDefault="00D24A4B" w:rsidP="00C66137">
            <w:pPr>
              <w:pStyle w:val="TableText10Single"/>
            </w:pPr>
            <w:r w:rsidRPr="00B47ECC">
              <w:t>C/I</w:t>
            </w:r>
          </w:p>
        </w:tc>
        <w:tc>
          <w:tcPr>
            <w:tcW w:w="1587" w:type="dxa"/>
          </w:tcPr>
          <w:p w14:paraId="1F5277A3" w14:textId="77777777" w:rsidR="00D24A4B" w:rsidRDefault="00D24A4B" w:rsidP="00C66137">
            <w:pPr>
              <w:pStyle w:val="TableText10Single"/>
            </w:pPr>
            <w:r w:rsidRPr="00B47ECC">
              <w:t>A/R</w:t>
            </w:r>
          </w:p>
        </w:tc>
      </w:tr>
      <w:tr w:rsidR="00D24A4B" w14:paraId="799FD6DB" w14:textId="77777777" w:rsidTr="00C66137">
        <w:tc>
          <w:tcPr>
            <w:tcW w:w="5741" w:type="dxa"/>
          </w:tcPr>
          <w:p w14:paraId="3C774D0D" w14:textId="77777777" w:rsidR="00D24A4B" w:rsidRDefault="00D24A4B" w:rsidP="00C66137">
            <w:pPr>
              <w:pStyle w:val="TableText10Single"/>
            </w:pPr>
            <w:r w:rsidRPr="00B47ECC">
              <w:t>Assess VM Health</w:t>
            </w:r>
          </w:p>
        </w:tc>
        <w:tc>
          <w:tcPr>
            <w:tcW w:w="1530" w:type="dxa"/>
          </w:tcPr>
          <w:p w14:paraId="47D3C6FC" w14:textId="77777777" w:rsidR="00D24A4B" w:rsidRDefault="00D24A4B" w:rsidP="00C66137">
            <w:pPr>
              <w:pStyle w:val="TableText10Single"/>
            </w:pPr>
            <w:r w:rsidRPr="00B47ECC">
              <w:t>C/I</w:t>
            </w:r>
          </w:p>
        </w:tc>
        <w:tc>
          <w:tcPr>
            <w:tcW w:w="1587" w:type="dxa"/>
          </w:tcPr>
          <w:p w14:paraId="22859487" w14:textId="77777777" w:rsidR="00D24A4B" w:rsidRDefault="00D24A4B" w:rsidP="00C66137">
            <w:pPr>
              <w:pStyle w:val="TableText10Single"/>
            </w:pPr>
            <w:r w:rsidRPr="00B47ECC">
              <w:t>A/R</w:t>
            </w:r>
          </w:p>
        </w:tc>
      </w:tr>
      <w:tr w:rsidR="00D24A4B" w14:paraId="34A70049" w14:textId="77777777" w:rsidTr="00C66137">
        <w:tc>
          <w:tcPr>
            <w:tcW w:w="5741" w:type="dxa"/>
          </w:tcPr>
          <w:p w14:paraId="04028B45" w14:textId="77777777" w:rsidR="00D24A4B" w:rsidRDefault="00D24A4B" w:rsidP="00C66137">
            <w:pPr>
              <w:pStyle w:val="TableText10Single"/>
            </w:pPr>
            <w:r w:rsidRPr="00B47ECC">
              <w:lastRenderedPageBreak/>
              <w:t>Troubleshoot VM Performance or Failures (crash analysis, event logs, snmp traps)</w:t>
            </w:r>
          </w:p>
        </w:tc>
        <w:tc>
          <w:tcPr>
            <w:tcW w:w="1530" w:type="dxa"/>
          </w:tcPr>
          <w:p w14:paraId="70A58558" w14:textId="77777777" w:rsidR="00D24A4B" w:rsidRDefault="00D24A4B" w:rsidP="00C66137">
            <w:pPr>
              <w:pStyle w:val="TableText10Single"/>
            </w:pPr>
            <w:r w:rsidRPr="00B47ECC">
              <w:t>C/I</w:t>
            </w:r>
          </w:p>
        </w:tc>
        <w:tc>
          <w:tcPr>
            <w:tcW w:w="1587" w:type="dxa"/>
          </w:tcPr>
          <w:p w14:paraId="18F9726A" w14:textId="77777777" w:rsidR="00D24A4B" w:rsidRDefault="00D24A4B" w:rsidP="00C66137">
            <w:pPr>
              <w:pStyle w:val="TableText10Single"/>
            </w:pPr>
            <w:r w:rsidRPr="00B47ECC">
              <w:t>A/R</w:t>
            </w:r>
          </w:p>
        </w:tc>
      </w:tr>
    </w:tbl>
    <w:p w14:paraId="05C2B7B5" w14:textId="77777777" w:rsidR="00D24A4B" w:rsidRPr="00DE0F87" w:rsidRDefault="00D24A4B" w:rsidP="00D24A4B">
      <w:pPr>
        <w:pStyle w:val="BodySingle"/>
      </w:pPr>
    </w:p>
    <w:p w14:paraId="1A0E3D4C" w14:textId="77777777" w:rsidR="00D24A4B" w:rsidRDefault="00D24A4B" w:rsidP="00D24A4B">
      <w:pPr>
        <w:pStyle w:val="BodyText"/>
        <w:keepNext/>
        <w:rPr>
          <w:i/>
          <w:iCs/>
        </w:rPr>
      </w:pPr>
      <w:r>
        <w:rPr>
          <w:i/>
          <w:iCs/>
        </w:rPr>
        <w:t xml:space="preserve">Legend: R = Responsible, A = Accountable, C = Consulted, I = Informed </w:t>
      </w:r>
    </w:p>
    <w:p w14:paraId="2F525C56" w14:textId="77777777" w:rsidR="00D24A4B" w:rsidRDefault="00D24A4B" w:rsidP="00D24A4B">
      <w:pPr>
        <w:pStyle w:val="Bullet1Double0"/>
        <w:shd w:val="clear" w:color="auto" w:fill="DBDCDD"/>
        <w:ind w:left="720" w:hanging="720"/>
      </w:pPr>
      <w:r>
        <w:t>8.12.2</w:t>
      </w:r>
      <w:r>
        <w:tab/>
        <w:t>Provide your standard uptime service and related Service Level Agreement (SLA) criteria.</w:t>
      </w:r>
    </w:p>
    <w:p w14:paraId="05AD0CE9" w14:textId="77777777" w:rsidR="00D24A4B" w:rsidRDefault="00D24A4B" w:rsidP="00D24A4B">
      <w:pPr>
        <w:pStyle w:val="Response"/>
      </w:pPr>
      <w:r>
        <w:t>Response:</w:t>
      </w:r>
    </w:p>
    <w:p w14:paraId="5AD50CED" w14:textId="77777777" w:rsidR="00D24A4B" w:rsidRDefault="00D24A4B" w:rsidP="00D24A4B">
      <w:pPr>
        <w:pStyle w:val="BodyText"/>
      </w:pPr>
      <w:r w:rsidRPr="00B00061">
        <w:t xml:space="preserve">The HPE </w:t>
      </w:r>
      <w:r>
        <w:t>GreenLake Flex Capacity Packages are</w:t>
      </w:r>
      <w:r w:rsidRPr="00B00061">
        <w:t xml:space="preserve"> installed at the Purchasing Entity site and HPE works with the Purchasing Entity client to develop a joint Service Level Agreement</w:t>
      </w:r>
      <w:r>
        <w:t xml:space="preserve">. </w:t>
      </w:r>
      <w:r w:rsidRPr="00B00061">
        <w:t>HPE Datacenter Care Service is HPE's most flexible support service and helps Purchasing Entity consistently meet their service level targets and other business objectives</w:t>
      </w:r>
      <w:r>
        <w:t xml:space="preserve">. </w:t>
      </w:r>
      <w:r w:rsidRPr="00B00061">
        <w:t xml:space="preserve">The Datacenter Care core and deliverables are directly aligned to the SLA commitment of the Purchasing Entity IT organization. An identified opportunity should be reviewed in the context of the business situation and how the Datacenter Care service fits the Purchasing Entity IT service management needs and business </w:t>
      </w:r>
      <w:r w:rsidRPr="00F679B7">
        <w:t>objectives</w:t>
      </w:r>
      <w:r w:rsidRPr="00871A89">
        <w:t xml:space="preserve">. </w:t>
      </w:r>
    </w:p>
    <w:p w14:paraId="3A5DC879" w14:textId="77777777" w:rsidR="00D24A4B" w:rsidRDefault="00D24A4B" w:rsidP="00D24A4B">
      <w:pPr>
        <w:pStyle w:val="TableCaptionAuto"/>
      </w:pPr>
      <w:r>
        <w:t>Hardware Annualized Failure Rates</w:t>
      </w:r>
    </w:p>
    <w:tbl>
      <w:tblPr>
        <w:tblStyle w:val="TableGrid"/>
        <w:tblW w:w="8858" w:type="dxa"/>
        <w:tblInd w:w="14" w:type="dxa"/>
        <w:tblLayout w:type="fixed"/>
        <w:tblCellMar>
          <w:top w:w="43" w:type="dxa"/>
          <w:left w:w="43" w:type="dxa"/>
          <w:bottom w:w="43" w:type="dxa"/>
          <w:right w:w="43" w:type="dxa"/>
        </w:tblCellMar>
        <w:tblLook w:val="04A0" w:firstRow="1" w:lastRow="0" w:firstColumn="1" w:lastColumn="0" w:noHBand="0" w:noVBand="1"/>
      </w:tblPr>
      <w:tblGrid>
        <w:gridCol w:w="4391"/>
        <w:gridCol w:w="2160"/>
        <w:gridCol w:w="2307"/>
      </w:tblGrid>
      <w:tr w:rsidR="00D24A4B" w14:paraId="388BE139" w14:textId="77777777" w:rsidTr="00C66137">
        <w:trPr>
          <w:tblHeader/>
        </w:trPr>
        <w:tc>
          <w:tcPr>
            <w:tcW w:w="4391" w:type="dxa"/>
            <w:shd w:val="clear" w:color="auto" w:fill="00B388"/>
          </w:tcPr>
          <w:p w14:paraId="3AE0A4C5" w14:textId="77777777" w:rsidR="00D24A4B" w:rsidRDefault="00D24A4B" w:rsidP="00C66137">
            <w:pPr>
              <w:pStyle w:val="TableHeading10"/>
            </w:pPr>
            <w:r>
              <w:t>Configuration</w:t>
            </w:r>
          </w:p>
        </w:tc>
        <w:tc>
          <w:tcPr>
            <w:tcW w:w="2160" w:type="dxa"/>
            <w:shd w:val="clear" w:color="auto" w:fill="00B388"/>
          </w:tcPr>
          <w:p w14:paraId="571DF919" w14:textId="77777777" w:rsidR="00D24A4B" w:rsidRDefault="00D24A4B" w:rsidP="00C66137">
            <w:pPr>
              <w:pStyle w:val="TableHeading10"/>
            </w:pPr>
            <w:r>
              <w:t>AFR (hardware only)</w:t>
            </w:r>
          </w:p>
        </w:tc>
        <w:tc>
          <w:tcPr>
            <w:tcW w:w="2307" w:type="dxa"/>
            <w:shd w:val="clear" w:color="auto" w:fill="00B388"/>
          </w:tcPr>
          <w:p w14:paraId="33EA24A0" w14:textId="77777777" w:rsidR="00D24A4B" w:rsidRDefault="00D24A4B" w:rsidP="00C66137">
            <w:pPr>
              <w:pStyle w:val="TableHeading10"/>
            </w:pPr>
            <w:r>
              <w:t>MTBF</w:t>
            </w:r>
          </w:p>
        </w:tc>
      </w:tr>
      <w:tr w:rsidR="00D24A4B" w14:paraId="62B55924" w14:textId="77777777" w:rsidTr="00C66137">
        <w:tc>
          <w:tcPr>
            <w:tcW w:w="4391" w:type="dxa"/>
          </w:tcPr>
          <w:p w14:paraId="694C0C0A" w14:textId="77777777" w:rsidR="00D24A4B" w:rsidRDefault="00D24A4B" w:rsidP="00C66137">
            <w:pPr>
              <w:pStyle w:val="TableText10Single"/>
            </w:pPr>
            <w:r w:rsidRPr="0070226D">
              <w:t>DL380 Azure Stack Node</w:t>
            </w:r>
          </w:p>
        </w:tc>
        <w:tc>
          <w:tcPr>
            <w:tcW w:w="2160" w:type="dxa"/>
          </w:tcPr>
          <w:p w14:paraId="2576CEA6" w14:textId="77777777" w:rsidR="00D24A4B" w:rsidRDefault="00D24A4B" w:rsidP="00C66137">
            <w:pPr>
              <w:pStyle w:val="TableText10Single"/>
            </w:pPr>
            <w:r w:rsidRPr="0070226D">
              <w:t>5.50%</w:t>
            </w:r>
          </w:p>
        </w:tc>
        <w:tc>
          <w:tcPr>
            <w:tcW w:w="2307" w:type="dxa"/>
          </w:tcPr>
          <w:p w14:paraId="59E2892D" w14:textId="77777777" w:rsidR="00D24A4B" w:rsidRDefault="00D24A4B" w:rsidP="00C66137">
            <w:pPr>
              <w:pStyle w:val="TableText10Single"/>
            </w:pPr>
            <w:r w:rsidRPr="0070226D">
              <w:t>159,238 hours</w:t>
            </w:r>
          </w:p>
        </w:tc>
      </w:tr>
      <w:tr w:rsidR="00D24A4B" w14:paraId="06F6451D" w14:textId="77777777" w:rsidTr="00C66137">
        <w:tc>
          <w:tcPr>
            <w:tcW w:w="4391" w:type="dxa"/>
          </w:tcPr>
          <w:p w14:paraId="62299317" w14:textId="77777777" w:rsidR="00D24A4B" w:rsidRDefault="00D24A4B" w:rsidP="00C66137">
            <w:pPr>
              <w:pStyle w:val="TableText10Single"/>
            </w:pPr>
            <w:r w:rsidRPr="0070226D">
              <w:t>DL360 Azure Stack Node</w:t>
            </w:r>
          </w:p>
        </w:tc>
        <w:tc>
          <w:tcPr>
            <w:tcW w:w="2160" w:type="dxa"/>
          </w:tcPr>
          <w:p w14:paraId="6FFCD177" w14:textId="77777777" w:rsidR="00D24A4B" w:rsidRDefault="00D24A4B" w:rsidP="00C66137">
            <w:pPr>
              <w:pStyle w:val="TableText10Single"/>
            </w:pPr>
            <w:r w:rsidRPr="0070226D">
              <w:t>3.71%</w:t>
            </w:r>
          </w:p>
        </w:tc>
        <w:tc>
          <w:tcPr>
            <w:tcW w:w="2307" w:type="dxa"/>
          </w:tcPr>
          <w:p w14:paraId="50FCA296" w14:textId="77777777" w:rsidR="00D24A4B" w:rsidRDefault="00D24A4B" w:rsidP="00C66137">
            <w:pPr>
              <w:pStyle w:val="TableText10Single"/>
            </w:pPr>
            <w:r w:rsidRPr="0070226D">
              <w:t>235,592 hours</w:t>
            </w:r>
          </w:p>
        </w:tc>
      </w:tr>
      <w:tr w:rsidR="00D24A4B" w14:paraId="28141545" w14:textId="77777777" w:rsidTr="00C66137">
        <w:tc>
          <w:tcPr>
            <w:tcW w:w="4391" w:type="dxa"/>
          </w:tcPr>
          <w:p w14:paraId="30C61D3D" w14:textId="77777777" w:rsidR="00D24A4B" w:rsidRDefault="00D24A4B" w:rsidP="00C66137">
            <w:pPr>
              <w:pStyle w:val="TableText10Single"/>
            </w:pPr>
            <w:r w:rsidRPr="0070226D">
              <w:t>HPE 5900AF 48XG 4QSFP+ switch</w:t>
            </w:r>
          </w:p>
        </w:tc>
        <w:tc>
          <w:tcPr>
            <w:tcW w:w="2160" w:type="dxa"/>
          </w:tcPr>
          <w:p w14:paraId="3B5C6D60" w14:textId="77777777" w:rsidR="00D24A4B" w:rsidRDefault="00D24A4B" w:rsidP="00C66137">
            <w:pPr>
              <w:pStyle w:val="TableText10Single"/>
            </w:pPr>
            <w:r w:rsidRPr="0070226D">
              <w:t>2.10%</w:t>
            </w:r>
          </w:p>
        </w:tc>
        <w:tc>
          <w:tcPr>
            <w:tcW w:w="2307" w:type="dxa"/>
          </w:tcPr>
          <w:p w14:paraId="63DCC8E6" w14:textId="77777777" w:rsidR="00D24A4B" w:rsidRDefault="00D24A4B" w:rsidP="00C66137">
            <w:pPr>
              <w:pStyle w:val="TableText10Single"/>
            </w:pPr>
            <w:r w:rsidRPr="0070226D">
              <w:t>417,143 hours</w:t>
            </w:r>
          </w:p>
        </w:tc>
      </w:tr>
      <w:tr w:rsidR="00D24A4B" w14:paraId="5AD3826C" w14:textId="77777777" w:rsidTr="00C66137">
        <w:tc>
          <w:tcPr>
            <w:tcW w:w="4391" w:type="dxa"/>
          </w:tcPr>
          <w:p w14:paraId="2580B942" w14:textId="77777777" w:rsidR="00D24A4B" w:rsidRDefault="00D24A4B" w:rsidP="00C66137">
            <w:pPr>
              <w:pStyle w:val="TableText10Single"/>
            </w:pPr>
            <w:r w:rsidRPr="0070226D">
              <w:t>HPE 5900AF 48G 4XG 2QSFP+ switch</w:t>
            </w:r>
          </w:p>
        </w:tc>
        <w:tc>
          <w:tcPr>
            <w:tcW w:w="2160" w:type="dxa"/>
          </w:tcPr>
          <w:p w14:paraId="564FCD80" w14:textId="77777777" w:rsidR="00D24A4B" w:rsidRDefault="00D24A4B" w:rsidP="00C66137">
            <w:pPr>
              <w:pStyle w:val="TableText10Single"/>
            </w:pPr>
            <w:r w:rsidRPr="0070226D">
              <w:t>1.25%</w:t>
            </w:r>
          </w:p>
        </w:tc>
        <w:tc>
          <w:tcPr>
            <w:tcW w:w="2307" w:type="dxa"/>
          </w:tcPr>
          <w:p w14:paraId="4E8B8E00" w14:textId="77777777" w:rsidR="00D24A4B" w:rsidRDefault="00D24A4B" w:rsidP="00C66137">
            <w:pPr>
              <w:pStyle w:val="TableText10Single"/>
            </w:pPr>
            <w:r w:rsidRPr="0070226D">
              <w:t>700,800 hours</w:t>
            </w:r>
          </w:p>
        </w:tc>
      </w:tr>
    </w:tbl>
    <w:p w14:paraId="7F3F3CB3" w14:textId="77777777" w:rsidR="00D24A4B" w:rsidRDefault="00D24A4B" w:rsidP="00D24A4B">
      <w:pPr>
        <w:pStyle w:val="BodySingle"/>
      </w:pPr>
    </w:p>
    <w:p w14:paraId="3808AC91" w14:textId="77777777" w:rsidR="00D24A4B" w:rsidRPr="00F679B7" w:rsidRDefault="00D24A4B" w:rsidP="00D24A4B">
      <w:pPr>
        <w:pStyle w:val="BodyText"/>
        <w:rPr>
          <w:lang w:val="en-GB" w:eastAsia="en-GB"/>
        </w:rPr>
      </w:pPr>
      <w:r w:rsidRPr="00F679B7">
        <w:rPr>
          <w:lang w:val="en-GB" w:eastAsia="en-GB"/>
        </w:rPr>
        <w:t>The</w:t>
      </w:r>
      <w:r w:rsidRPr="00F679B7">
        <w:rPr>
          <w:spacing w:val="17"/>
          <w:lang w:val="en-GB" w:eastAsia="en-GB"/>
        </w:rPr>
        <w:t xml:space="preserve"> </w:t>
      </w:r>
      <w:r w:rsidRPr="00F679B7">
        <w:rPr>
          <w:lang w:val="en-GB" w:eastAsia="en-GB"/>
        </w:rPr>
        <w:t>hardware</w:t>
      </w:r>
      <w:r w:rsidRPr="00F679B7">
        <w:rPr>
          <w:spacing w:val="17"/>
          <w:lang w:val="en-GB" w:eastAsia="en-GB"/>
        </w:rPr>
        <w:t xml:space="preserve"> </w:t>
      </w:r>
      <w:r w:rsidRPr="00F679B7">
        <w:rPr>
          <w:lang w:val="en-GB" w:eastAsia="en-GB"/>
        </w:rPr>
        <w:t>Annualized</w:t>
      </w:r>
      <w:r w:rsidRPr="00F679B7">
        <w:rPr>
          <w:spacing w:val="17"/>
          <w:lang w:val="en-GB" w:eastAsia="en-GB"/>
        </w:rPr>
        <w:t xml:space="preserve"> </w:t>
      </w:r>
      <w:r w:rsidRPr="00F679B7">
        <w:rPr>
          <w:lang w:val="en-GB" w:eastAsia="en-GB"/>
        </w:rPr>
        <w:t>Failure</w:t>
      </w:r>
      <w:r w:rsidRPr="00F679B7">
        <w:rPr>
          <w:spacing w:val="17"/>
          <w:lang w:val="en-GB" w:eastAsia="en-GB"/>
        </w:rPr>
        <w:t xml:space="preserve"> </w:t>
      </w:r>
      <w:r w:rsidRPr="00F679B7">
        <w:rPr>
          <w:lang w:val="en-GB" w:eastAsia="en-GB"/>
        </w:rPr>
        <w:t>Rate</w:t>
      </w:r>
      <w:r w:rsidRPr="00F679B7">
        <w:rPr>
          <w:spacing w:val="17"/>
          <w:lang w:val="en-GB" w:eastAsia="en-GB"/>
        </w:rPr>
        <w:t xml:space="preserve"> </w:t>
      </w:r>
      <w:r w:rsidRPr="00F679B7">
        <w:rPr>
          <w:lang w:val="en-GB" w:eastAsia="en-GB"/>
        </w:rPr>
        <w:t>(AFR)</w:t>
      </w:r>
      <w:r w:rsidRPr="00F679B7">
        <w:rPr>
          <w:spacing w:val="17"/>
          <w:lang w:val="en-GB" w:eastAsia="en-GB"/>
        </w:rPr>
        <w:t xml:space="preserve"> </w:t>
      </w:r>
      <w:r w:rsidRPr="00F679B7">
        <w:rPr>
          <w:lang w:val="en-GB" w:eastAsia="en-GB"/>
        </w:rPr>
        <w:t>represents</w:t>
      </w:r>
      <w:r w:rsidRPr="00F679B7">
        <w:rPr>
          <w:spacing w:val="18"/>
          <w:lang w:val="en-GB" w:eastAsia="en-GB"/>
        </w:rPr>
        <w:t xml:space="preserve"> </w:t>
      </w:r>
      <w:r w:rsidRPr="00F679B7">
        <w:rPr>
          <w:spacing w:val="-2"/>
          <w:lang w:val="en-GB" w:eastAsia="en-GB"/>
        </w:rPr>
        <w:t>the</w:t>
      </w:r>
      <w:r w:rsidRPr="00F679B7">
        <w:rPr>
          <w:spacing w:val="17"/>
          <w:lang w:val="en-GB" w:eastAsia="en-GB"/>
        </w:rPr>
        <w:t xml:space="preserve"> </w:t>
      </w:r>
      <w:r w:rsidRPr="00F679B7">
        <w:rPr>
          <w:lang w:val="en-GB" w:eastAsia="en-GB"/>
        </w:rPr>
        <w:t>expected</w:t>
      </w:r>
      <w:r w:rsidRPr="00F679B7">
        <w:rPr>
          <w:spacing w:val="17"/>
          <w:lang w:val="en-GB" w:eastAsia="en-GB"/>
        </w:rPr>
        <w:t xml:space="preserve"> </w:t>
      </w:r>
      <w:r w:rsidRPr="00F679B7">
        <w:rPr>
          <w:lang w:val="en-GB" w:eastAsia="en-GB"/>
        </w:rPr>
        <w:t>number</w:t>
      </w:r>
      <w:r w:rsidRPr="00F679B7">
        <w:rPr>
          <w:spacing w:val="17"/>
          <w:lang w:val="en-GB" w:eastAsia="en-GB"/>
        </w:rPr>
        <w:t xml:space="preserve"> </w:t>
      </w:r>
      <w:r w:rsidRPr="00F679B7">
        <w:rPr>
          <w:lang w:val="en-GB" w:eastAsia="en-GB"/>
        </w:rPr>
        <w:t>of</w:t>
      </w:r>
      <w:r w:rsidRPr="00F679B7">
        <w:rPr>
          <w:spacing w:val="15"/>
          <w:lang w:val="en-GB" w:eastAsia="en-GB"/>
        </w:rPr>
        <w:t xml:space="preserve"> </w:t>
      </w:r>
      <w:r w:rsidRPr="00F679B7">
        <w:rPr>
          <w:lang w:val="en-GB" w:eastAsia="en-GB"/>
        </w:rPr>
        <w:t>system</w:t>
      </w:r>
      <w:r w:rsidRPr="00F679B7">
        <w:rPr>
          <w:spacing w:val="16"/>
          <w:lang w:val="en-GB" w:eastAsia="en-GB"/>
        </w:rPr>
        <w:t xml:space="preserve"> </w:t>
      </w:r>
      <w:r w:rsidRPr="00F679B7">
        <w:rPr>
          <w:lang w:val="en-GB" w:eastAsia="en-GB"/>
        </w:rPr>
        <w:t>crashes</w:t>
      </w:r>
      <w:r w:rsidRPr="00F679B7">
        <w:rPr>
          <w:spacing w:val="15"/>
          <w:lang w:val="en-GB" w:eastAsia="en-GB"/>
        </w:rPr>
        <w:t xml:space="preserve"> </w:t>
      </w:r>
      <w:r w:rsidRPr="00F679B7">
        <w:rPr>
          <w:lang w:val="en-GB" w:eastAsia="en-GB"/>
        </w:rPr>
        <w:t>due</w:t>
      </w:r>
      <w:r w:rsidRPr="00F679B7">
        <w:rPr>
          <w:spacing w:val="15"/>
          <w:lang w:val="en-GB" w:eastAsia="en-GB"/>
        </w:rPr>
        <w:t xml:space="preserve"> </w:t>
      </w:r>
      <w:r w:rsidRPr="00F679B7">
        <w:rPr>
          <w:lang w:val="en-GB" w:eastAsia="en-GB"/>
        </w:rPr>
        <w:t>to</w:t>
      </w:r>
      <w:r w:rsidRPr="00F679B7">
        <w:rPr>
          <w:spacing w:val="17"/>
          <w:lang w:val="en-GB" w:eastAsia="en-GB"/>
        </w:rPr>
        <w:t xml:space="preserve"> </w:t>
      </w:r>
      <w:r w:rsidRPr="00F679B7">
        <w:rPr>
          <w:lang w:val="en-GB" w:eastAsia="en-GB"/>
        </w:rPr>
        <w:t>hardware</w:t>
      </w:r>
      <w:r w:rsidRPr="00F679B7">
        <w:rPr>
          <w:spacing w:val="93"/>
          <w:lang w:val="en-GB" w:eastAsia="en-GB"/>
        </w:rPr>
        <w:t xml:space="preserve"> </w:t>
      </w:r>
      <w:r w:rsidRPr="00F679B7">
        <w:rPr>
          <w:lang w:val="en-GB" w:eastAsia="en-GB"/>
        </w:rPr>
        <w:t>failures</w:t>
      </w:r>
      <w:r w:rsidRPr="00F679B7">
        <w:rPr>
          <w:spacing w:val="-11"/>
          <w:lang w:val="en-GB" w:eastAsia="en-GB"/>
        </w:rPr>
        <w:t xml:space="preserve"> </w:t>
      </w:r>
      <w:r w:rsidRPr="00F679B7">
        <w:rPr>
          <w:lang w:val="en-GB" w:eastAsia="en-GB"/>
        </w:rPr>
        <w:t>expressed</w:t>
      </w:r>
      <w:r w:rsidRPr="00F679B7">
        <w:rPr>
          <w:spacing w:val="-9"/>
          <w:lang w:val="en-GB" w:eastAsia="en-GB"/>
        </w:rPr>
        <w:t xml:space="preserve"> </w:t>
      </w:r>
      <w:r w:rsidRPr="00F679B7">
        <w:rPr>
          <w:lang w:val="en-GB" w:eastAsia="en-GB"/>
        </w:rPr>
        <w:t>as</w:t>
      </w:r>
      <w:r w:rsidRPr="00F679B7">
        <w:rPr>
          <w:spacing w:val="-8"/>
          <w:lang w:val="en-GB" w:eastAsia="en-GB"/>
        </w:rPr>
        <w:t xml:space="preserve"> </w:t>
      </w:r>
      <w:r w:rsidRPr="00F679B7">
        <w:rPr>
          <w:lang w:val="en-GB" w:eastAsia="en-GB"/>
        </w:rPr>
        <w:t>an</w:t>
      </w:r>
      <w:r w:rsidRPr="00F679B7">
        <w:rPr>
          <w:spacing w:val="-9"/>
          <w:lang w:val="en-GB" w:eastAsia="en-GB"/>
        </w:rPr>
        <w:t xml:space="preserve"> </w:t>
      </w:r>
      <w:r w:rsidRPr="00F679B7">
        <w:rPr>
          <w:lang w:val="en-GB" w:eastAsia="en-GB"/>
        </w:rPr>
        <w:t>annualized</w:t>
      </w:r>
      <w:r w:rsidRPr="00F679B7">
        <w:rPr>
          <w:spacing w:val="-9"/>
          <w:lang w:val="en-GB" w:eastAsia="en-GB"/>
        </w:rPr>
        <w:t xml:space="preserve"> </w:t>
      </w:r>
      <w:r w:rsidRPr="00F679B7">
        <w:rPr>
          <w:lang w:val="en-GB" w:eastAsia="en-GB"/>
        </w:rPr>
        <w:t>percentage.</w:t>
      </w:r>
      <w:r w:rsidRPr="00F679B7">
        <w:rPr>
          <w:spacing w:val="31"/>
          <w:lang w:val="en-GB" w:eastAsia="en-GB"/>
        </w:rPr>
        <w:t xml:space="preserve"> </w:t>
      </w:r>
      <w:r w:rsidRPr="00F679B7">
        <w:rPr>
          <w:lang w:val="en-GB" w:eastAsia="en-GB"/>
        </w:rPr>
        <w:t>In</w:t>
      </w:r>
      <w:r w:rsidRPr="00F679B7">
        <w:rPr>
          <w:spacing w:val="-11"/>
          <w:lang w:val="en-GB" w:eastAsia="en-GB"/>
        </w:rPr>
        <w:t xml:space="preserve"> </w:t>
      </w:r>
      <w:r w:rsidRPr="00F679B7">
        <w:rPr>
          <w:lang w:val="en-GB" w:eastAsia="en-GB"/>
        </w:rPr>
        <w:t>other</w:t>
      </w:r>
      <w:r w:rsidRPr="00F679B7">
        <w:rPr>
          <w:spacing w:val="-10"/>
          <w:lang w:val="en-GB" w:eastAsia="en-GB"/>
        </w:rPr>
        <w:t xml:space="preserve"> </w:t>
      </w:r>
      <w:r w:rsidRPr="00F679B7">
        <w:rPr>
          <w:lang w:val="en-GB" w:eastAsia="en-GB"/>
        </w:rPr>
        <w:t>words,</w:t>
      </w:r>
      <w:r w:rsidRPr="00F679B7">
        <w:rPr>
          <w:spacing w:val="-9"/>
          <w:lang w:val="en-GB" w:eastAsia="en-GB"/>
        </w:rPr>
        <w:t xml:space="preserve"> </w:t>
      </w:r>
      <w:r w:rsidRPr="00F679B7">
        <w:rPr>
          <w:lang w:val="en-GB" w:eastAsia="en-GB"/>
        </w:rPr>
        <w:t>AFR</w:t>
      </w:r>
      <w:r w:rsidRPr="00F679B7">
        <w:rPr>
          <w:spacing w:val="-10"/>
          <w:lang w:val="en-GB" w:eastAsia="en-GB"/>
        </w:rPr>
        <w:t xml:space="preserve"> </w:t>
      </w:r>
      <w:r w:rsidRPr="00F679B7">
        <w:rPr>
          <w:lang w:val="en-GB" w:eastAsia="en-GB"/>
        </w:rPr>
        <w:t>is</w:t>
      </w:r>
      <w:r w:rsidRPr="00F679B7">
        <w:rPr>
          <w:spacing w:val="-8"/>
          <w:lang w:val="en-GB" w:eastAsia="en-GB"/>
        </w:rPr>
        <w:t xml:space="preserve"> </w:t>
      </w:r>
      <w:r w:rsidRPr="00F679B7">
        <w:rPr>
          <w:lang w:val="en-GB" w:eastAsia="en-GB"/>
        </w:rPr>
        <w:t>the</w:t>
      </w:r>
      <w:r w:rsidRPr="00F679B7">
        <w:rPr>
          <w:spacing w:val="-9"/>
          <w:lang w:val="en-GB" w:eastAsia="en-GB"/>
        </w:rPr>
        <w:t xml:space="preserve"> </w:t>
      </w:r>
      <w:r w:rsidRPr="00F679B7">
        <w:rPr>
          <w:lang w:val="en-GB" w:eastAsia="en-GB"/>
        </w:rPr>
        <w:t>probable</w:t>
      </w:r>
      <w:r w:rsidRPr="00F679B7">
        <w:rPr>
          <w:spacing w:val="-9"/>
          <w:lang w:val="en-GB" w:eastAsia="en-GB"/>
        </w:rPr>
        <w:t xml:space="preserve"> </w:t>
      </w:r>
      <w:r w:rsidRPr="00F679B7">
        <w:rPr>
          <w:lang w:val="en-GB" w:eastAsia="en-GB"/>
        </w:rPr>
        <w:t>percent</w:t>
      </w:r>
      <w:r w:rsidRPr="00F679B7">
        <w:rPr>
          <w:spacing w:val="-9"/>
          <w:lang w:val="en-GB" w:eastAsia="en-GB"/>
        </w:rPr>
        <w:t xml:space="preserve"> </w:t>
      </w:r>
      <w:r w:rsidRPr="00F679B7">
        <w:rPr>
          <w:lang w:val="en-GB" w:eastAsia="en-GB"/>
        </w:rPr>
        <w:t>of</w:t>
      </w:r>
      <w:r w:rsidRPr="00F679B7">
        <w:rPr>
          <w:spacing w:val="-9"/>
          <w:lang w:val="en-GB" w:eastAsia="en-GB"/>
        </w:rPr>
        <w:t xml:space="preserve"> </w:t>
      </w:r>
      <w:r w:rsidRPr="00F679B7">
        <w:rPr>
          <w:lang w:val="en-GB" w:eastAsia="en-GB"/>
        </w:rPr>
        <w:t>failures</w:t>
      </w:r>
      <w:r w:rsidRPr="00F679B7">
        <w:rPr>
          <w:spacing w:val="-8"/>
          <w:lang w:val="en-GB" w:eastAsia="en-GB"/>
        </w:rPr>
        <w:t xml:space="preserve"> </w:t>
      </w:r>
      <w:r w:rsidRPr="00F679B7">
        <w:rPr>
          <w:lang w:val="en-GB" w:eastAsia="en-GB"/>
        </w:rPr>
        <w:t>per</w:t>
      </w:r>
      <w:r w:rsidRPr="00F679B7">
        <w:rPr>
          <w:spacing w:val="-10"/>
          <w:lang w:val="en-GB" w:eastAsia="en-GB"/>
        </w:rPr>
        <w:t xml:space="preserve"> </w:t>
      </w:r>
      <w:r w:rsidRPr="00F679B7">
        <w:rPr>
          <w:lang w:val="en-GB" w:eastAsia="en-GB"/>
        </w:rPr>
        <w:t>year</w:t>
      </w:r>
      <w:r w:rsidRPr="00F679B7">
        <w:rPr>
          <w:spacing w:val="-10"/>
          <w:lang w:val="en-GB" w:eastAsia="en-GB"/>
        </w:rPr>
        <w:t xml:space="preserve"> </w:t>
      </w:r>
      <w:r w:rsidRPr="00F679B7">
        <w:rPr>
          <w:lang w:val="en-GB" w:eastAsia="en-GB"/>
        </w:rPr>
        <w:t>based</w:t>
      </w:r>
      <w:r w:rsidRPr="00F679B7">
        <w:rPr>
          <w:spacing w:val="89"/>
          <w:lang w:val="en-GB" w:eastAsia="en-GB"/>
        </w:rPr>
        <w:t xml:space="preserve"> </w:t>
      </w:r>
      <w:r w:rsidRPr="00F679B7">
        <w:rPr>
          <w:lang w:val="en-GB" w:eastAsia="en-GB"/>
        </w:rPr>
        <w:t>on</w:t>
      </w:r>
      <w:r w:rsidRPr="00F679B7">
        <w:rPr>
          <w:spacing w:val="-7"/>
          <w:lang w:val="en-GB" w:eastAsia="en-GB"/>
        </w:rPr>
        <w:t xml:space="preserve"> </w:t>
      </w:r>
      <w:r w:rsidRPr="00F679B7">
        <w:rPr>
          <w:lang w:val="en-GB" w:eastAsia="en-GB"/>
        </w:rPr>
        <w:t>the</w:t>
      </w:r>
      <w:r w:rsidRPr="00F679B7">
        <w:rPr>
          <w:spacing w:val="-7"/>
          <w:lang w:val="en-GB" w:eastAsia="en-GB"/>
        </w:rPr>
        <w:t xml:space="preserve"> </w:t>
      </w:r>
      <w:r w:rsidRPr="00F679B7">
        <w:rPr>
          <w:lang w:val="en-GB" w:eastAsia="en-GB"/>
        </w:rPr>
        <w:t>total</w:t>
      </w:r>
      <w:r w:rsidRPr="00F679B7">
        <w:rPr>
          <w:spacing w:val="-9"/>
          <w:lang w:val="en-GB" w:eastAsia="en-GB"/>
        </w:rPr>
        <w:t xml:space="preserve"> </w:t>
      </w:r>
      <w:r w:rsidRPr="00F679B7">
        <w:rPr>
          <w:lang w:val="en-GB" w:eastAsia="en-GB"/>
        </w:rPr>
        <w:t>number</w:t>
      </w:r>
      <w:r w:rsidRPr="00F679B7">
        <w:rPr>
          <w:spacing w:val="-10"/>
          <w:lang w:val="en-GB" w:eastAsia="en-GB"/>
        </w:rPr>
        <w:t xml:space="preserve"> </w:t>
      </w:r>
      <w:r w:rsidRPr="00F679B7">
        <w:rPr>
          <w:lang w:val="en-GB" w:eastAsia="en-GB"/>
        </w:rPr>
        <w:t>of</w:t>
      </w:r>
      <w:r w:rsidRPr="00F679B7">
        <w:rPr>
          <w:spacing w:val="-7"/>
          <w:lang w:val="en-GB" w:eastAsia="en-GB"/>
        </w:rPr>
        <w:t xml:space="preserve"> </w:t>
      </w:r>
      <w:r w:rsidRPr="00F679B7">
        <w:rPr>
          <w:lang w:val="en-GB" w:eastAsia="en-GB"/>
        </w:rPr>
        <w:t>installed</w:t>
      </w:r>
      <w:r w:rsidRPr="00F679B7">
        <w:rPr>
          <w:spacing w:val="-9"/>
          <w:lang w:val="en-GB" w:eastAsia="en-GB"/>
        </w:rPr>
        <w:t xml:space="preserve"> </w:t>
      </w:r>
      <w:r w:rsidRPr="00F679B7">
        <w:rPr>
          <w:lang w:val="en-GB" w:eastAsia="en-GB"/>
        </w:rPr>
        <w:t>systems</w:t>
      </w:r>
      <w:r w:rsidRPr="00F679B7">
        <w:rPr>
          <w:spacing w:val="-6"/>
          <w:lang w:val="en-GB" w:eastAsia="en-GB"/>
        </w:rPr>
        <w:t xml:space="preserve"> </w:t>
      </w:r>
      <w:r w:rsidRPr="00F679B7">
        <w:rPr>
          <w:lang w:val="en-GB" w:eastAsia="en-GB"/>
        </w:rPr>
        <w:t>with</w:t>
      </w:r>
      <w:r w:rsidRPr="00F679B7">
        <w:rPr>
          <w:spacing w:val="-9"/>
          <w:lang w:val="en-GB" w:eastAsia="en-GB"/>
        </w:rPr>
        <w:t xml:space="preserve"> </w:t>
      </w:r>
      <w:r w:rsidRPr="00F679B7">
        <w:rPr>
          <w:lang w:val="en-GB" w:eastAsia="en-GB"/>
        </w:rPr>
        <w:t>similar</w:t>
      </w:r>
      <w:r w:rsidRPr="00F679B7">
        <w:rPr>
          <w:spacing w:val="-7"/>
          <w:lang w:val="en-GB" w:eastAsia="en-GB"/>
        </w:rPr>
        <w:t xml:space="preserve"> </w:t>
      </w:r>
      <w:r w:rsidRPr="00F679B7">
        <w:rPr>
          <w:lang w:val="en-GB" w:eastAsia="en-GB"/>
        </w:rPr>
        <w:t>configuration.</w:t>
      </w:r>
      <w:r>
        <w:rPr>
          <w:lang w:val="en-GB" w:eastAsia="en-GB"/>
        </w:rPr>
        <w:t xml:space="preserve"> </w:t>
      </w:r>
      <w:r w:rsidRPr="00F679B7">
        <w:rPr>
          <w:lang w:val="en-GB" w:eastAsia="en-GB"/>
        </w:rPr>
        <w:t>The</w:t>
      </w:r>
      <w:r w:rsidRPr="00F679B7">
        <w:rPr>
          <w:spacing w:val="-7"/>
          <w:lang w:val="en-GB" w:eastAsia="en-GB"/>
        </w:rPr>
        <w:t xml:space="preserve"> </w:t>
      </w:r>
      <w:r w:rsidRPr="00F679B7">
        <w:rPr>
          <w:lang w:val="en-GB" w:eastAsia="en-GB"/>
        </w:rPr>
        <w:t>AFR</w:t>
      </w:r>
      <w:r w:rsidRPr="00F679B7">
        <w:rPr>
          <w:spacing w:val="-8"/>
          <w:lang w:val="en-GB" w:eastAsia="en-GB"/>
        </w:rPr>
        <w:t xml:space="preserve"> </w:t>
      </w:r>
      <w:r w:rsidRPr="00F679B7">
        <w:rPr>
          <w:lang w:val="en-GB" w:eastAsia="en-GB"/>
        </w:rPr>
        <w:t>reflects</w:t>
      </w:r>
      <w:r w:rsidRPr="00F679B7">
        <w:rPr>
          <w:spacing w:val="-9"/>
          <w:lang w:val="en-GB" w:eastAsia="en-GB"/>
        </w:rPr>
        <w:t xml:space="preserve"> </w:t>
      </w:r>
      <w:r w:rsidRPr="00F679B7">
        <w:rPr>
          <w:lang w:val="en-GB" w:eastAsia="en-GB"/>
        </w:rPr>
        <w:t>high</w:t>
      </w:r>
      <w:r w:rsidRPr="00F679B7">
        <w:rPr>
          <w:spacing w:val="-7"/>
          <w:lang w:val="en-GB" w:eastAsia="en-GB"/>
        </w:rPr>
        <w:t xml:space="preserve"> </w:t>
      </w:r>
      <w:r w:rsidRPr="00F679B7">
        <w:rPr>
          <w:lang w:val="en-GB" w:eastAsia="en-GB"/>
        </w:rPr>
        <w:t>availability</w:t>
      </w:r>
      <w:r w:rsidRPr="00F679B7">
        <w:rPr>
          <w:spacing w:val="-9"/>
          <w:lang w:val="en-GB" w:eastAsia="en-GB"/>
        </w:rPr>
        <w:t xml:space="preserve"> </w:t>
      </w:r>
      <w:r w:rsidRPr="00F679B7">
        <w:rPr>
          <w:lang w:val="en-GB" w:eastAsia="en-GB"/>
        </w:rPr>
        <w:t>features</w:t>
      </w:r>
      <w:r w:rsidRPr="00F679B7">
        <w:rPr>
          <w:spacing w:val="-9"/>
          <w:lang w:val="en-GB" w:eastAsia="en-GB"/>
        </w:rPr>
        <w:t xml:space="preserve"> </w:t>
      </w:r>
      <w:r w:rsidRPr="00F679B7">
        <w:rPr>
          <w:lang w:val="en-GB" w:eastAsia="en-GB"/>
        </w:rPr>
        <w:t>that</w:t>
      </w:r>
      <w:r w:rsidRPr="00F679B7">
        <w:rPr>
          <w:spacing w:val="-7"/>
          <w:lang w:val="en-GB" w:eastAsia="en-GB"/>
        </w:rPr>
        <w:t xml:space="preserve"> </w:t>
      </w:r>
      <w:r w:rsidRPr="00F679B7">
        <w:rPr>
          <w:lang w:val="en-GB" w:eastAsia="en-GB"/>
        </w:rPr>
        <w:t>mask</w:t>
      </w:r>
      <w:r w:rsidRPr="00F679B7">
        <w:rPr>
          <w:spacing w:val="101"/>
          <w:lang w:val="en-GB" w:eastAsia="en-GB"/>
        </w:rPr>
        <w:t xml:space="preserve"> </w:t>
      </w:r>
      <w:r w:rsidRPr="00F679B7">
        <w:rPr>
          <w:lang w:val="en-GB" w:eastAsia="en-GB"/>
        </w:rPr>
        <w:t>failures from the</w:t>
      </w:r>
      <w:r w:rsidRPr="00F679B7">
        <w:rPr>
          <w:spacing w:val="-2"/>
          <w:lang w:val="en-GB" w:eastAsia="en-GB"/>
        </w:rPr>
        <w:t xml:space="preserve"> </w:t>
      </w:r>
      <w:r w:rsidRPr="00F679B7">
        <w:rPr>
          <w:lang w:val="en-GB" w:eastAsia="en-GB"/>
        </w:rPr>
        <w:t>end</w:t>
      </w:r>
      <w:r w:rsidRPr="00F679B7">
        <w:rPr>
          <w:spacing w:val="-2"/>
          <w:lang w:val="en-GB" w:eastAsia="en-GB"/>
        </w:rPr>
        <w:t xml:space="preserve"> </w:t>
      </w:r>
      <w:r w:rsidRPr="00F679B7">
        <w:rPr>
          <w:lang w:val="en-GB" w:eastAsia="en-GB"/>
        </w:rPr>
        <w:t>users</w:t>
      </w:r>
      <w:r w:rsidRPr="00F679B7">
        <w:rPr>
          <w:spacing w:val="1"/>
          <w:lang w:val="en-GB" w:eastAsia="en-GB"/>
        </w:rPr>
        <w:t xml:space="preserve"> </w:t>
      </w:r>
      <w:r w:rsidRPr="00F679B7">
        <w:rPr>
          <w:lang w:val="en-GB" w:eastAsia="en-GB"/>
        </w:rPr>
        <w:t>because</w:t>
      </w:r>
      <w:r w:rsidRPr="00F679B7">
        <w:rPr>
          <w:spacing w:val="1"/>
          <w:lang w:val="en-GB" w:eastAsia="en-GB"/>
        </w:rPr>
        <w:t xml:space="preserve"> </w:t>
      </w:r>
      <w:r w:rsidRPr="00F679B7">
        <w:rPr>
          <w:lang w:val="en-GB" w:eastAsia="en-GB"/>
        </w:rPr>
        <w:t>the</w:t>
      </w:r>
      <w:r w:rsidRPr="00F679B7">
        <w:rPr>
          <w:spacing w:val="1"/>
          <w:lang w:val="en-GB" w:eastAsia="en-GB"/>
        </w:rPr>
        <w:t xml:space="preserve"> </w:t>
      </w:r>
      <w:r w:rsidRPr="00F679B7">
        <w:rPr>
          <w:lang w:val="en-GB" w:eastAsia="en-GB"/>
        </w:rPr>
        <w:t>components are</w:t>
      </w:r>
      <w:r w:rsidRPr="00F679B7">
        <w:rPr>
          <w:spacing w:val="1"/>
          <w:lang w:val="en-GB" w:eastAsia="en-GB"/>
        </w:rPr>
        <w:t xml:space="preserve"> </w:t>
      </w:r>
      <w:r w:rsidRPr="00F679B7">
        <w:rPr>
          <w:lang w:val="en-GB" w:eastAsia="en-GB"/>
        </w:rPr>
        <w:t>redundant (e.g. drives, fans,</w:t>
      </w:r>
      <w:r w:rsidRPr="00F679B7">
        <w:rPr>
          <w:spacing w:val="-2"/>
          <w:lang w:val="en-GB" w:eastAsia="en-GB"/>
        </w:rPr>
        <w:t xml:space="preserve"> </w:t>
      </w:r>
      <w:r w:rsidRPr="00F679B7">
        <w:rPr>
          <w:lang w:val="en-GB" w:eastAsia="en-GB"/>
        </w:rPr>
        <w:t>power supplies).</w:t>
      </w:r>
    </w:p>
    <w:p w14:paraId="3FD11529" w14:textId="77777777" w:rsidR="00D24A4B" w:rsidRPr="00F679B7" w:rsidRDefault="00D24A4B" w:rsidP="00D24A4B">
      <w:pPr>
        <w:pStyle w:val="BodyText"/>
        <w:rPr>
          <w:lang w:val="en-GB" w:eastAsia="en-GB"/>
        </w:rPr>
      </w:pPr>
      <w:r w:rsidRPr="00F679B7">
        <w:rPr>
          <w:lang w:val="en-GB" w:eastAsia="en-GB"/>
        </w:rPr>
        <w:t>The</w:t>
      </w:r>
      <w:r w:rsidRPr="00F679B7">
        <w:rPr>
          <w:spacing w:val="3"/>
          <w:lang w:val="en-GB" w:eastAsia="en-GB"/>
        </w:rPr>
        <w:t xml:space="preserve"> </w:t>
      </w:r>
      <w:r w:rsidRPr="00F679B7">
        <w:rPr>
          <w:lang w:val="en-GB" w:eastAsia="en-GB"/>
        </w:rPr>
        <w:t>Mean</w:t>
      </w:r>
      <w:r w:rsidRPr="00F679B7">
        <w:rPr>
          <w:spacing w:val="1"/>
          <w:lang w:val="en-GB" w:eastAsia="en-GB"/>
        </w:rPr>
        <w:t xml:space="preserve"> </w:t>
      </w:r>
      <w:r w:rsidRPr="00F679B7">
        <w:rPr>
          <w:lang w:val="en-GB" w:eastAsia="en-GB"/>
        </w:rPr>
        <w:t>Time</w:t>
      </w:r>
      <w:r w:rsidRPr="00F679B7">
        <w:rPr>
          <w:spacing w:val="1"/>
          <w:lang w:val="en-GB" w:eastAsia="en-GB"/>
        </w:rPr>
        <w:t xml:space="preserve"> </w:t>
      </w:r>
      <w:r w:rsidRPr="00F679B7">
        <w:rPr>
          <w:lang w:val="en-GB" w:eastAsia="en-GB"/>
        </w:rPr>
        <w:t>Between</w:t>
      </w:r>
      <w:r w:rsidRPr="00F679B7">
        <w:rPr>
          <w:spacing w:val="1"/>
          <w:lang w:val="en-GB" w:eastAsia="en-GB"/>
        </w:rPr>
        <w:t xml:space="preserve"> </w:t>
      </w:r>
      <w:r w:rsidRPr="00F679B7">
        <w:rPr>
          <w:lang w:val="en-GB" w:eastAsia="en-GB"/>
        </w:rPr>
        <w:t>Failure</w:t>
      </w:r>
      <w:r w:rsidRPr="00F679B7">
        <w:rPr>
          <w:spacing w:val="1"/>
          <w:lang w:val="en-GB" w:eastAsia="en-GB"/>
        </w:rPr>
        <w:t xml:space="preserve"> </w:t>
      </w:r>
      <w:r w:rsidRPr="00F679B7">
        <w:rPr>
          <w:lang w:val="en-GB" w:eastAsia="en-GB"/>
        </w:rPr>
        <w:t>(MTBF) is</w:t>
      </w:r>
      <w:r w:rsidRPr="00F679B7">
        <w:rPr>
          <w:spacing w:val="1"/>
          <w:lang w:val="en-GB" w:eastAsia="en-GB"/>
        </w:rPr>
        <w:t xml:space="preserve"> </w:t>
      </w:r>
      <w:r w:rsidRPr="00F679B7">
        <w:rPr>
          <w:lang w:val="en-GB" w:eastAsia="en-GB"/>
        </w:rPr>
        <w:t>defined</w:t>
      </w:r>
      <w:r w:rsidRPr="00F679B7">
        <w:rPr>
          <w:spacing w:val="-2"/>
          <w:lang w:val="en-GB" w:eastAsia="en-GB"/>
        </w:rPr>
        <w:t xml:space="preserve"> </w:t>
      </w:r>
      <w:r w:rsidRPr="00F679B7">
        <w:rPr>
          <w:lang w:val="en-GB" w:eastAsia="en-GB"/>
        </w:rPr>
        <w:t>as the</w:t>
      </w:r>
      <w:r w:rsidRPr="00F679B7">
        <w:rPr>
          <w:spacing w:val="-2"/>
          <w:lang w:val="en-GB" w:eastAsia="en-GB"/>
        </w:rPr>
        <w:t xml:space="preserve"> </w:t>
      </w:r>
      <w:r w:rsidRPr="00F679B7">
        <w:rPr>
          <w:lang w:val="en-GB" w:eastAsia="en-GB"/>
        </w:rPr>
        <w:t>mean</w:t>
      </w:r>
      <w:r w:rsidRPr="00F679B7">
        <w:rPr>
          <w:spacing w:val="1"/>
          <w:lang w:val="en-GB" w:eastAsia="en-GB"/>
        </w:rPr>
        <w:t xml:space="preserve"> </w:t>
      </w:r>
      <w:r w:rsidRPr="00F679B7">
        <w:rPr>
          <w:lang w:val="en-GB" w:eastAsia="en-GB"/>
        </w:rPr>
        <w:t>operating</w:t>
      </w:r>
      <w:r w:rsidRPr="00F679B7">
        <w:rPr>
          <w:spacing w:val="-2"/>
          <w:lang w:val="en-GB" w:eastAsia="en-GB"/>
        </w:rPr>
        <w:t xml:space="preserve"> </w:t>
      </w:r>
      <w:r w:rsidRPr="00F679B7">
        <w:rPr>
          <w:lang w:val="en-GB" w:eastAsia="en-GB"/>
        </w:rPr>
        <w:t>time</w:t>
      </w:r>
      <w:r w:rsidRPr="00F679B7">
        <w:rPr>
          <w:spacing w:val="1"/>
          <w:lang w:val="en-GB" w:eastAsia="en-GB"/>
        </w:rPr>
        <w:t xml:space="preserve"> </w:t>
      </w:r>
      <w:r w:rsidRPr="00F679B7">
        <w:rPr>
          <w:lang w:val="en-GB" w:eastAsia="en-GB"/>
        </w:rPr>
        <w:t>between</w:t>
      </w:r>
      <w:r w:rsidRPr="00F679B7">
        <w:rPr>
          <w:spacing w:val="1"/>
          <w:lang w:val="en-GB" w:eastAsia="en-GB"/>
        </w:rPr>
        <w:t xml:space="preserve"> </w:t>
      </w:r>
      <w:r w:rsidRPr="00F679B7">
        <w:rPr>
          <w:lang w:val="en-GB" w:eastAsia="en-GB"/>
        </w:rPr>
        <w:t>critical</w:t>
      </w:r>
      <w:r w:rsidRPr="00F679B7">
        <w:rPr>
          <w:spacing w:val="1"/>
          <w:lang w:val="en-GB" w:eastAsia="en-GB"/>
        </w:rPr>
        <w:t xml:space="preserve"> </w:t>
      </w:r>
      <w:r w:rsidRPr="00F679B7">
        <w:rPr>
          <w:lang w:val="en-GB" w:eastAsia="en-GB"/>
        </w:rPr>
        <w:t>hardware</w:t>
      </w:r>
      <w:r w:rsidRPr="00F679B7">
        <w:rPr>
          <w:spacing w:val="1"/>
          <w:lang w:val="en-GB" w:eastAsia="en-GB"/>
        </w:rPr>
        <w:t xml:space="preserve"> </w:t>
      </w:r>
      <w:r>
        <w:rPr>
          <w:spacing w:val="1"/>
          <w:lang w:val="en-GB" w:eastAsia="en-GB"/>
        </w:rPr>
        <w:t>f</w:t>
      </w:r>
      <w:r w:rsidRPr="00F679B7">
        <w:rPr>
          <w:lang w:val="en-GB" w:eastAsia="en-GB"/>
        </w:rPr>
        <w:t>ailures.</w:t>
      </w:r>
      <w:r>
        <w:rPr>
          <w:lang w:val="en-GB" w:eastAsia="en-GB"/>
        </w:rPr>
        <w:t xml:space="preserve"> </w:t>
      </w:r>
      <w:r w:rsidRPr="00F679B7">
        <w:rPr>
          <w:lang w:val="en-GB" w:eastAsia="en-GB"/>
        </w:rPr>
        <w:t>The</w:t>
      </w:r>
      <w:r w:rsidRPr="00F679B7">
        <w:rPr>
          <w:spacing w:val="3"/>
          <w:lang w:val="en-GB" w:eastAsia="en-GB"/>
        </w:rPr>
        <w:t xml:space="preserve"> </w:t>
      </w:r>
      <w:r w:rsidRPr="00F679B7">
        <w:rPr>
          <w:spacing w:val="-2"/>
          <w:lang w:val="en-GB" w:eastAsia="en-GB"/>
        </w:rPr>
        <w:t>MTBF</w:t>
      </w:r>
      <w:r w:rsidRPr="00F679B7">
        <w:rPr>
          <w:lang w:val="en-GB" w:eastAsia="en-GB"/>
        </w:rPr>
        <w:t xml:space="preserve"> is</w:t>
      </w:r>
      <w:r w:rsidRPr="00F679B7">
        <w:rPr>
          <w:spacing w:val="1"/>
          <w:lang w:val="en-GB" w:eastAsia="en-GB"/>
        </w:rPr>
        <w:t xml:space="preserve"> </w:t>
      </w:r>
      <w:r w:rsidRPr="00F679B7">
        <w:rPr>
          <w:lang w:val="en-GB" w:eastAsia="en-GB"/>
        </w:rPr>
        <w:t>derived</w:t>
      </w:r>
      <w:r w:rsidRPr="00F679B7">
        <w:rPr>
          <w:spacing w:val="1"/>
          <w:lang w:val="en-GB" w:eastAsia="en-GB"/>
        </w:rPr>
        <w:t xml:space="preserve"> </w:t>
      </w:r>
      <w:r w:rsidRPr="00F679B7">
        <w:rPr>
          <w:lang w:val="en-GB" w:eastAsia="en-GB"/>
        </w:rPr>
        <w:t>from</w:t>
      </w:r>
      <w:r w:rsidRPr="00F679B7">
        <w:rPr>
          <w:spacing w:val="1"/>
          <w:lang w:val="en-GB" w:eastAsia="en-GB"/>
        </w:rPr>
        <w:t xml:space="preserve"> </w:t>
      </w:r>
      <w:r w:rsidRPr="00F679B7">
        <w:rPr>
          <w:lang w:val="en-GB" w:eastAsia="en-GB"/>
        </w:rPr>
        <w:t>the</w:t>
      </w:r>
      <w:r w:rsidRPr="00F679B7">
        <w:rPr>
          <w:spacing w:val="-2"/>
          <w:lang w:val="en-GB" w:eastAsia="en-GB"/>
        </w:rPr>
        <w:t xml:space="preserve"> </w:t>
      </w:r>
      <w:r w:rsidRPr="00F679B7">
        <w:rPr>
          <w:lang w:val="en-GB" w:eastAsia="en-GB"/>
        </w:rPr>
        <w:t>AFR using</w:t>
      </w:r>
      <w:r w:rsidRPr="00F679B7">
        <w:rPr>
          <w:spacing w:val="1"/>
          <w:lang w:val="en-GB" w:eastAsia="en-GB"/>
        </w:rPr>
        <w:t xml:space="preserve"> </w:t>
      </w:r>
      <w:r w:rsidRPr="00F679B7">
        <w:rPr>
          <w:lang w:val="en-GB" w:eastAsia="en-GB"/>
        </w:rPr>
        <w:t>this formula:</w:t>
      </w:r>
    </w:p>
    <w:p w14:paraId="5325A19B" w14:textId="77777777" w:rsidR="00D24A4B" w:rsidRPr="00395B02" w:rsidRDefault="00D24A4B" w:rsidP="00D24A4B">
      <w:pPr>
        <w:pStyle w:val="Bullet1Double"/>
        <w:numPr>
          <w:ilvl w:val="0"/>
          <w:numId w:val="9"/>
        </w:numPr>
        <w:tabs>
          <w:tab w:val="clear" w:pos="0"/>
        </w:tabs>
        <w:ind w:left="360" w:hanging="360"/>
      </w:pPr>
      <w:r w:rsidRPr="005451D7">
        <w:rPr>
          <w:spacing w:val="-2"/>
          <w:lang w:val="en-GB" w:eastAsia="en-GB"/>
        </w:rPr>
        <w:t>MTBF</w:t>
      </w:r>
      <w:r w:rsidRPr="005451D7">
        <w:rPr>
          <w:lang w:val="en-GB" w:eastAsia="en-GB"/>
        </w:rPr>
        <w:t xml:space="preserve"> = 8760*100/AFR</w:t>
      </w:r>
      <w:r w:rsidRPr="00F679B7" w:rsidDel="00F679B7">
        <w:t xml:space="preserve"> </w:t>
      </w:r>
    </w:p>
    <w:p w14:paraId="65B59DBC" w14:textId="77777777" w:rsidR="00D24A4B" w:rsidRDefault="00D24A4B" w:rsidP="00D24A4B">
      <w:pPr>
        <w:pStyle w:val="Bullet1Double0"/>
        <w:shd w:val="clear" w:color="auto" w:fill="DBDCDD"/>
        <w:ind w:left="720" w:hanging="720"/>
      </w:pPr>
      <w:r>
        <w:t>8.12.3</w:t>
      </w:r>
      <w:r>
        <w:tab/>
        <w:t>Specify and provide the process to be used for the participating entity to call/contact you for support, who will be providing the support, and describe the basis of availability.</w:t>
      </w:r>
    </w:p>
    <w:p w14:paraId="03711AC1" w14:textId="77777777" w:rsidR="00D24A4B" w:rsidRDefault="00D24A4B" w:rsidP="00D24A4B">
      <w:pPr>
        <w:pStyle w:val="Response"/>
      </w:pPr>
      <w:r>
        <w:t>Response:</w:t>
      </w:r>
    </w:p>
    <w:p w14:paraId="251C0F58" w14:textId="77777777" w:rsidR="00D24A4B" w:rsidRDefault="00D24A4B" w:rsidP="00D24A4B">
      <w:pPr>
        <w:pStyle w:val="BodyText"/>
      </w:pPr>
      <w:r w:rsidRPr="00285F73">
        <w:t xml:space="preserve">HPE will provide Purchasing Entity access to a dedicated HPE phone number; 24 hours per day, 7 days per week. When a critical hardware or related software incident </w:t>
      </w:r>
      <w:r>
        <w:t xml:space="preserve">occurs </w:t>
      </w:r>
      <w:r w:rsidRPr="00285F73">
        <w:t xml:space="preserve">(Severity 1 or 2), Purchasing Entity will be connected to a remote technical HPE support specialist within the HPE Global Mission Critical Support Center. </w:t>
      </w:r>
    </w:p>
    <w:p w14:paraId="40856368" w14:textId="77777777" w:rsidR="00D24A4B" w:rsidRDefault="00D24A4B" w:rsidP="00D24A4B">
      <w:pPr>
        <w:pStyle w:val="BodyText"/>
      </w:pPr>
      <w:r w:rsidRPr="00285F73">
        <w:t xml:space="preserve">The HPE support specialist </w:t>
      </w:r>
      <w:r>
        <w:t xml:space="preserve">focuses </w:t>
      </w:r>
      <w:r w:rsidRPr="00285F73">
        <w:t xml:space="preserve">in business recovery </w:t>
      </w:r>
      <w:r>
        <w:t>of</w:t>
      </w:r>
      <w:r w:rsidRPr="00285F73">
        <w:t xml:space="preserve"> complex computing environments and will have access to information about the Purchasing Entity’s IT environment, systems, and specific support requirements. In the event of a hardware issue that may require an onsite presence, an HPE hardware specialist will be dispatched to equipment location, in accordance with the hardware reactive service level of the affected </w:t>
      </w:r>
      <w:r w:rsidRPr="00285F73">
        <w:lastRenderedPageBreak/>
        <w:t>device. Additionally, the HPE support specialist will perform failure data collection and incident definition. If necessary, the HPE support specialist will execute escalation procedures and engage additional technical specialists.</w:t>
      </w:r>
    </w:p>
    <w:p w14:paraId="58436EB6" w14:textId="77777777" w:rsidR="00D24A4B" w:rsidRDefault="00D24A4B" w:rsidP="00D24A4B">
      <w:pPr>
        <w:pStyle w:val="TableCaptionAuto"/>
      </w:pPr>
      <w:r>
        <w:t>HPE Escalation Plan</w:t>
      </w:r>
    </w:p>
    <w:tbl>
      <w:tblPr>
        <w:tblStyle w:val="TableGrid"/>
        <w:tblW w:w="8858" w:type="dxa"/>
        <w:tblInd w:w="14" w:type="dxa"/>
        <w:tblLayout w:type="fixed"/>
        <w:tblCellMar>
          <w:top w:w="43" w:type="dxa"/>
          <w:left w:w="43" w:type="dxa"/>
          <w:bottom w:w="43" w:type="dxa"/>
          <w:right w:w="43" w:type="dxa"/>
        </w:tblCellMar>
        <w:tblLook w:val="04A0" w:firstRow="1" w:lastRow="0" w:firstColumn="1" w:lastColumn="0" w:noHBand="0" w:noVBand="1"/>
      </w:tblPr>
      <w:tblGrid>
        <w:gridCol w:w="3401"/>
        <w:gridCol w:w="5457"/>
      </w:tblGrid>
      <w:tr w:rsidR="00D24A4B" w14:paraId="24E94A9B" w14:textId="77777777" w:rsidTr="00C66137">
        <w:trPr>
          <w:tblHeader/>
        </w:trPr>
        <w:tc>
          <w:tcPr>
            <w:tcW w:w="3401" w:type="dxa"/>
            <w:shd w:val="clear" w:color="auto" w:fill="00B388"/>
          </w:tcPr>
          <w:p w14:paraId="2DFB2578" w14:textId="77777777" w:rsidR="00D24A4B" w:rsidRDefault="00D24A4B" w:rsidP="00C66137">
            <w:pPr>
              <w:pStyle w:val="TableHeading10"/>
            </w:pPr>
            <w:r>
              <w:t>Critical Incidents (Severity 1 or 2)</w:t>
            </w:r>
          </w:p>
        </w:tc>
        <w:tc>
          <w:tcPr>
            <w:tcW w:w="5457" w:type="dxa"/>
            <w:shd w:val="clear" w:color="auto" w:fill="00B388"/>
          </w:tcPr>
          <w:p w14:paraId="16D92EE8" w14:textId="77777777" w:rsidR="00D24A4B" w:rsidRDefault="00D24A4B" w:rsidP="00C66137">
            <w:pPr>
              <w:pStyle w:val="TableHeading10"/>
            </w:pPr>
            <w:r>
              <w:t>Severity 3 and 4 Hardware or Related Software Incidents</w:t>
            </w:r>
          </w:p>
        </w:tc>
      </w:tr>
      <w:tr w:rsidR="00D24A4B" w14:paraId="33C51BA8" w14:textId="77777777" w:rsidTr="00C66137">
        <w:tc>
          <w:tcPr>
            <w:tcW w:w="3401" w:type="dxa"/>
          </w:tcPr>
          <w:p w14:paraId="24DFEB5C" w14:textId="77777777" w:rsidR="00D24A4B" w:rsidRDefault="00D24A4B" w:rsidP="00C66137">
            <w:pPr>
              <w:pStyle w:val="TableText10Single"/>
            </w:pPr>
            <w:r w:rsidRPr="00FC2EBC">
              <w:t>HPE will assign a Critical Event Manager (CEM). The CEM will coordinate incident escalation and will enlist other HPE specialists if the situation requires additional resources and skills</w:t>
            </w:r>
          </w:p>
        </w:tc>
        <w:tc>
          <w:tcPr>
            <w:tcW w:w="5457" w:type="dxa"/>
          </w:tcPr>
          <w:p w14:paraId="3D54F41A" w14:textId="77777777" w:rsidR="00D24A4B" w:rsidRDefault="00D24A4B" w:rsidP="00C66137">
            <w:pPr>
              <w:pStyle w:val="TableText10Single"/>
            </w:pPr>
            <w:r>
              <w:t xml:space="preserve">Customer will report to HPE using one of three methods, which are available 24 hours per day, 7 days per week. </w:t>
            </w:r>
          </w:p>
          <w:p w14:paraId="7F254E73" w14:textId="77777777" w:rsidR="00D24A4B" w:rsidRDefault="00D24A4B" w:rsidP="00D24A4B">
            <w:pPr>
              <w:pStyle w:val="TableText10Bullet1Double"/>
              <w:spacing w:line="240" w:lineRule="auto"/>
            </w:pPr>
            <w:r>
              <w:t xml:space="preserve">Dedicated HPE phone number </w:t>
            </w:r>
          </w:p>
          <w:p w14:paraId="553F9D25" w14:textId="77777777" w:rsidR="00D24A4B" w:rsidRDefault="00D24A4B" w:rsidP="00D24A4B">
            <w:pPr>
              <w:pStyle w:val="TableText10Bullet1Double"/>
              <w:spacing w:line="240" w:lineRule="auto"/>
            </w:pPr>
            <w:r>
              <w:t>HPE Electronic Remote Support, as a web-based submittal tool via the HPE Support Center</w:t>
            </w:r>
          </w:p>
          <w:p w14:paraId="047C6897" w14:textId="77777777" w:rsidR="00D24A4B" w:rsidRDefault="00D24A4B" w:rsidP="00D24A4B">
            <w:pPr>
              <w:pStyle w:val="TableText10Bullet1Double"/>
              <w:spacing w:line="240" w:lineRule="auto"/>
            </w:pPr>
            <w:r>
              <w:t>HPE Electronic Remote Support, as an automated equipment reporting event</w:t>
            </w:r>
          </w:p>
        </w:tc>
      </w:tr>
      <w:tr w:rsidR="00D24A4B" w14:paraId="0F895F70" w14:textId="77777777" w:rsidTr="00C66137">
        <w:tc>
          <w:tcPr>
            <w:tcW w:w="3401" w:type="dxa"/>
          </w:tcPr>
          <w:p w14:paraId="2BC2DBB7" w14:textId="77777777" w:rsidR="00D24A4B" w:rsidRDefault="00D24A4B" w:rsidP="00C66137">
            <w:pPr>
              <w:pStyle w:val="TableText10Single"/>
            </w:pPr>
          </w:p>
        </w:tc>
        <w:tc>
          <w:tcPr>
            <w:tcW w:w="5457" w:type="dxa"/>
          </w:tcPr>
          <w:p w14:paraId="6D73D398" w14:textId="77777777" w:rsidR="00D24A4B" w:rsidRDefault="00D24A4B" w:rsidP="00C66137">
            <w:pPr>
              <w:pStyle w:val="TableText10Single"/>
            </w:pPr>
            <w:r w:rsidRPr="00FC2EBC">
              <w:t>HPE will acknowledge the receipt of the service request by logging the call, assigning a case ID, and communicating the case ID to Purchasing Entity. HPE will work during the hardware or software coverage window to isolate the problem and to remotely troubleshoot, remedy, and resolve the problem with Purchasing Entity.</w:t>
            </w:r>
          </w:p>
        </w:tc>
      </w:tr>
    </w:tbl>
    <w:p w14:paraId="241F10D9" w14:textId="77777777" w:rsidR="00D24A4B" w:rsidRPr="00395B02" w:rsidRDefault="00D24A4B" w:rsidP="00D24A4B">
      <w:pPr>
        <w:pStyle w:val="BodyText"/>
      </w:pPr>
    </w:p>
    <w:p w14:paraId="56D62168" w14:textId="77777777" w:rsidR="00D24A4B" w:rsidRDefault="00D24A4B" w:rsidP="00D24A4B">
      <w:pPr>
        <w:pStyle w:val="Bullet1Double0"/>
        <w:shd w:val="clear" w:color="auto" w:fill="DBDCDD"/>
        <w:ind w:left="720" w:hanging="720"/>
      </w:pPr>
      <w:r>
        <w:t>8.12.4</w:t>
      </w:r>
      <w:r>
        <w:tab/>
        <w:t>Describe the consequences/SLA remedies if the Respondent fails to meet incident response time and incident fix time.</w:t>
      </w:r>
    </w:p>
    <w:p w14:paraId="6FCC850B" w14:textId="77777777" w:rsidR="00D24A4B" w:rsidRDefault="00D24A4B" w:rsidP="00D24A4B">
      <w:pPr>
        <w:pStyle w:val="Response"/>
      </w:pPr>
      <w:r>
        <w:t>Response:</w:t>
      </w:r>
    </w:p>
    <w:p w14:paraId="1418F747" w14:textId="77777777" w:rsidR="00D24A4B" w:rsidRDefault="00D24A4B" w:rsidP="00D24A4B">
      <w:pPr>
        <w:pStyle w:val="BodyText"/>
      </w:pPr>
      <w:r>
        <w:t>HPE uses an issue resolution process to manage issues between a Purchasing Entity client and HPE under the SOW. This process will be defined at the beginning of the term and documented in the ASP and is comprised of an issue resolution form and issue escalation table that HPE and Purchasing Entity mutually develop.</w:t>
      </w:r>
    </w:p>
    <w:p w14:paraId="1CD31113" w14:textId="77777777" w:rsidR="00D24A4B" w:rsidRPr="00395B02" w:rsidRDefault="00D24A4B" w:rsidP="00D24A4B">
      <w:pPr>
        <w:pStyle w:val="BodyText"/>
      </w:pPr>
      <w:r>
        <w:t>The Purchasing Entity or HPE requestor submits an issue resolution form to log an issue and initiate the escalation process. The issue resolution process adheres to the escalation process that is outlined by the issue escalation table. This table defines the Level 1, 2, 3, and 4 escalation managers for Purchasing Entity and HPE. When a manager level is unable to agree on an issue resolution plan within five (5) business days of receiving the issue resolution form or initially meeting to discuss the issue, then the issue is escalated to the next management level for evaluation.</w:t>
      </w:r>
    </w:p>
    <w:p w14:paraId="6842B4CE" w14:textId="77777777" w:rsidR="00D24A4B" w:rsidRDefault="00D24A4B" w:rsidP="00D24A4B">
      <w:pPr>
        <w:pStyle w:val="Bullet1Double0"/>
        <w:shd w:val="clear" w:color="auto" w:fill="DBDCDD"/>
      </w:pPr>
      <w:r>
        <w:t>8.12.5</w:t>
      </w:r>
      <w:r>
        <w:tab/>
        <w:t>Describe the firm’s procedures and schedules for any planned downtime.</w:t>
      </w:r>
    </w:p>
    <w:p w14:paraId="621F37CC" w14:textId="77777777" w:rsidR="00D24A4B" w:rsidRDefault="00D24A4B" w:rsidP="00D24A4B">
      <w:pPr>
        <w:pStyle w:val="Response"/>
      </w:pPr>
      <w:r>
        <w:t>Response:</w:t>
      </w:r>
    </w:p>
    <w:p w14:paraId="62AC7BB4" w14:textId="77777777" w:rsidR="00D24A4B" w:rsidRDefault="00D24A4B" w:rsidP="00D24A4B">
      <w:pPr>
        <w:pStyle w:val="BodyText"/>
      </w:pPr>
      <w:r w:rsidRPr="00285F73">
        <w:t>Upon completion of the installation services, a mutually agreed upon Account Support Plan (ASP) will be developed by the HPE ASM in conjunction with the Purchasing Entity’s IT staff</w:t>
      </w:r>
      <w:r>
        <w:t xml:space="preserve">. </w:t>
      </w:r>
      <w:r w:rsidRPr="00285F73">
        <w:t xml:space="preserve">The Purchasing Entity agrees to provide, in a timely manner, a knowledgeable resource to assist with the development of the ASP. </w:t>
      </w:r>
    </w:p>
    <w:p w14:paraId="0E128621" w14:textId="77777777" w:rsidR="00D24A4B" w:rsidRPr="00395B02" w:rsidRDefault="00D24A4B" w:rsidP="00D24A4B">
      <w:pPr>
        <w:pStyle w:val="BodyText"/>
      </w:pPr>
      <w:r w:rsidRPr="00285F73">
        <w:t>The ASP documents the reactive and proactive support, devices, planned downtime, geographic coverage, and other support aspects provided by the Service. The ASP also details roles and responsibilities, along with contact information and escalation procedures and will be completed with the Purchasing Entity as part of the startup phase of this service and routinely reviewed</w:t>
      </w:r>
      <w:r>
        <w:t xml:space="preserve">. </w:t>
      </w:r>
      <w:r w:rsidRPr="00285F73">
        <w:t>Any changes to the ASP will require the agreement of both parties through the change management process.</w:t>
      </w:r>
    </w:p>
    <w:p w14:paraId="77B05C61" w14:textId="77777777" w:rsidR="00D24A4B" w:rsidRDefault="00D24A4B" w:rsidP="00D24A4B">
      <w:pPr>
        <w:pStyle w:val="Bullet1Double0"/>
        <w:shd w:val="clear" w:color="auto" w:fill="DBDCDD"/>
      </w:pPr>
      <w:r>
        <w:t>8.12.6</w:t>
      </w:r>
      <w:r>
        <w:tab/>
        <w:t>Describe the consequences/SLA remedies if disaster recovery metrics are not met.</w:t>
      </w:r>
    </w:p>
    <w:p w14:paraId="43D4DE83" w14:textId="77777777" w:rsidR="00D24A4B" w:rsidRDefault="00D24A4B" w:rsidP="00D24A4B">
      <w:pPr>
        <w:pStyle w:val="Response"/>
      </w:pPr>
      <w:r>
        <w:lastRenderedPageBreak/>
        <w:t>Response:</w:t>
      </w:r>
    </w:p>
    <w:p w14:paraId="5869295F" w14:textId="77777777" w:rsidR="00D24A4B" w:rsidRPr="00395B02" w:rsidRDefault="00D24A4B" w:rsidP="00D24A4B">
      <w:pPr>
        <w:pStyle w:val="BodyText"/>
      </w:pPr>
      <w:r w:rsidRPr="00285F73">
        <w:t xml:space="preserve">The HPE </w:t>
      </w:r>
      <w:r>
        <w:t>GreenLake Flex Capacity Packages are</w:t>
      </w:r>
      <w:r w:rsidRPr="00285F73">
        <w:t xml:space="preserve"> installed at the Purchasing Entity site and the Purchasing Entity client is responsible for disaster recovery. HPE can assist the Purchasing Entity to develop processes and set up disaster recovery and business continuity measures, if desired</w:t>
      </w:r>
    </w:p>
    <w:p w14:paraId="5564FCEC" w14:textId="77777777" w:rsidR="00D24A4B" w:rsidRDefault="00D24A4B" w:rsidP="00D24A4B">
      <w:pPr>
        <w:pStyle w:val="Bullet1Double0"/>
        <w:shd w:val="clear" w:color="auto" w:fill="DBDCDD"/>
        <w:ind w:left="720" w:hanging="720"/>
      </w:pPr>
      <w:r>
        <w:t>8.12.7</w:t>
      </w:r>
      <w:r>
        <w:tab/>
        <w:t>Provide a sample of performance reports and specify if they are available over the Web and if they are real-time statistics or batch statistics.</w:t>
      </w:r>
    </w:p>
    <w:p w14:paraId="1E47DAA7" w14:textId="77777777" w:rsidR="00D24A4B" w:rsidRDefault="00D24A4B" w:rsidP="00D24A4B">
      <w:pPr>
        <w:pStyle w:val="Response"/>
      </w:pPr>
      <w:r>
        <w:t>Response:</w:t>
      </w:r>
    </w:p>
    <w:p w14:paraId="459C083E" w14:textId="77777777" w:rsidR="00D24A4B" w:rsidRDefault="00D24A4B" w:rsidP="00D24A4B">
      <w:pPr>
        <w:pStyle w:val="BodyText"/>
      </w:pPr>
      <w:r>
        <w:t xml:space="preserve">Below are </w:t>
      </w:r>
      <w:r w:rsidRPr="008168FA">
        <w:t>sample of real-time statistics performance reports available over the Web</w:t>
      </w:r>
      <w:r>
        <w:t>.</w:t>
      </w:r>
    </w:p>
    <w:p w14:paraId="0DF5089F" w14:textId="77777777" w:rsidR="00D24A4B" w:rsidRDefault="00D24A4B" w:rsidP="00D24A4B">
      <w:pPr>
        <w:pStyle w:val="FigureCaptionAuto"/>
      </w:pPr>
      <w:r>
        <w:t>Node Status Statistics Performance Report</w:t>
      </w:r>
    </w:p>
    <w:p w14:paraId="0C5863ED" w14:textId="77777777" w:rsidR="00D24A4B" w:rsidRDefault="00D24A4B" w:rsidP="00D24A4B">
      <w:pPr>
        <w:pStyle w:val="BodyText"/>
      </w:pPr>
      <w:r w:rsidRPr="004553E5">
        <w:rPr>
          <w:noProof/>
          <w:lang w:val="en-GB" w:eastAsia="en-GB"/>
        </w:rPr>
        <w:drawing>
          <wp:inline distT="0" distB="0" distL="0" distR="0" wp14:anchorId="2BDD0837" wp14:editId="5990FDDF">
            <wp:extent cx="4892535" cy="2293620"/>
            <wp:effectExtent l="0" t="0" r="3810" b="0"/>
            <wp:docPr id="109" name="Picture 109" descr="C:\Users\narayaku\AppData\Local\Microsoft\Windows\Temporary Internet Files\Content.Outlook\WBGU93VB\Node Status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arayaku\AppData\Local\Microsoft\Windows\Temporary Internet Files\Content.Outlook\WBGU93VB\Node Status (002).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96941" cy="2295686"/>
                    </a:xfrm>
                    <a:prstGeom prst="rect">
                      <a:avLst/>
                    </a:prstGeom>
                    <a:noFill/>
                    <a:ln>
                      <a:noFill/>
                    </a:ln>
                  </pic:spPr>
                </pic:pic>
              </a:graphicData>
            </a:graphic>
          </wp:inline>
        </w:drawing>
      </w:r>
    </w:p>
    <w:p w14:paraId="35FE3C5C" w14:textId="77777777" w:rsidR="00D24A4B" w:rsidRDefault="00D24A4B" w:rsidP="00D24A4B">
      <w:pPr>
        <w:pStyle w:val="BodyText"/>
      </w:pPr>
    </w:p>
    <w:p w14:paraId="755E7746" w14:textId="77777777" w:rsidR="00D24A4B" w:rsidRDefault="00D24A4B" w:rsidP="00D24A4B">
      <w:pPr>
        <w:pStyle w:val="BodyText"/>
      </w:pPr>
    </w:p>
    <w:p w14:paraId="4412C12D" w14:textId="77777777" w:rsidR="00D24A4B" w:rsidRDefault="00D24A4B" w:rsidP="00D24A4B">
      <w:pPr>
        <w:pStyle w:val="FigureCaptionAuto"/>
      </w:pPr>
      <w:r>
        <w:t>Controller Status Statistics Performance Report</w:t>
      </w:r>
    </w:p>
    <w:p w14:paraId="1E89A1DC" w14:textId="77777777" w:rsidR="00D24A4B" w:rsidRDefault="00D24A4B" w:rsidP="00D24A4B">
      <w:pPr>
        <w:pStyle w:val="BodyText"/>
      </w:pPr>
      <w:r w:rsidRPr="004553E5">
        <w:rPr>
          <w:noProof/>
          <w:lang w:val="en-GB" w:eastAsia="en-GB"/>
        </w:rPr>
        <w:drawing>
          <wp:inline distT="0" distB="0" distL="0" distR="0" wp14:anchorId="2A683053" wp14:editId="7A12B199">
            <wp:extent cx="4892040" cy="2864274"/>
            <wp:effectExtent l="0" t="0" r="3810" b="0"/>
            <wp:docPr id="110" name="Picture 110" descr="C:\Users\narayaku\AppData\Local\Microsoft\Windows\Temporary Internet Files\Content.Outlook\WBGU93VB\Controller Status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arayaku\AppData\Local\Microsoft\Windows\Temporary Internet Files\Content.Outlook\WBGU93VB\Controller Status (002).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98784" cy="2868223"/>
                    </a:xfrm>
                    <a:prstGeom prst="rect">
                      <a:avLst/>
                    </a:prstGeom>
                    <a:noFill/>
                    <a:ln>
                      <a:noFill/>
                    </a:ln>
                  </pic:spPr>
                </pic:pic>
              </a:graphicData>
            </a:graphic>
          </wp:inline>
        </w:drawing>
      </w:r>
    </w:p>
    <w:p w14:paraId="2113257A" w14:textId="77777777" w:rsidR="00D24A4B" w:rsidRDefault="00D24A4B" w:rsidP="00D24A4B">
      <w:pPr>
        <w:pStyle w:val="BodyText"/>
      </w:pPr>
    </w:p>
    <w:p w14:paraId="769187C4" w14:textId="77777777" w:rsidR="00D24A4B" w:rsidRDefault="00D24A4B" w:rsidP="00D24A4B">
      <w:pPr>
        <w:pStyle w:val="FigureCaptionAuto"/>
      </w:pPr>
      <w:r>
        <w:lastRenderedPageBreak/>
        <w:t>Service Health Statistics Performance Report</w:t>
      </w:r>
    </w:p>
    <w:p w14:paraId="48127139" w14:textId="77777777" w:rsidR="00D24A4B" w:rsidRDefault="00D24A4B" w:rsidP="00D24A4B">
      <w:pPr>
        <w:pStyle w:val="BodyText"/>
      </w:pPr>
      <w:r w:rsidRPr="004553E5">
        <w:rPr>
          <w:noProof/>
          <w:lang w:val="en-GB" w:eastAsia="en-GB"/>
        </w:rPr>
        <w:drawing>
          <wp:inline distT="0" distB="0" distL="0" distR="0" wp14:anchorId="3A34256E" wp14:editId="7D8CC7B2">
            <wp:extent cx="4787793" cy="2651760"/>
            <wp:effectExtent l="0" t="0" r="0" b="0"/>
            <wp:docPr id="111" name="Picture 111" descr="C:\Users\narayaku\AppData\Local\Microsoft\Windows\Temporary Internet Files\Content.Outlook\WBGU93VB\Service Health (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arayaku\AppData\Local\Microsoft\Windows\Temporary Internet Files\Content.Outlook\WBGU93VB\Service Health (003).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89012" cy="2652435"/>
                    </a:xfrm>
                    <a:prstGeom prst="rect">
                      <a:avLst/>
                    </a:prstGeom>
                    <a:noFill/>
                    <a:ln>
                      <a:noFill/>
                    </a:ln>
                  </pic:spPr>
                </pic:pic>
              </a:graphicData>
            </a:graphic>
          </wp:inline>
        </w:drawing>
      </w:r>
    </w:p>
    <w:p w14:paraId="068E7DD7" w14:textId="77777777" w:rsidR="00D24A4B" w:rsidRDefault="00D24A4B" w:rsidP="00D24A4B">
      <w:pPr>
        <w:pStyle w:val="BodyText"/>
      </w:pPr>
    </w:p>
    <w:p w14:paraId="237E4453" w14:textId="77777777" w:rsidR="00D24A4B" w:rsidRDefault="00D24A4B" w:rsidP="00D24A4B">
      <w:pPr>
        <w:pStyle w:val="FigureCaptionAuto"/>
      </w:pPr>
      <w:r>
        <w:t>Status Statistics Performance Report</w:t>
      </w:r>
    </w:p>
    <w:p w14:paraId="3E0FE5DD" w14:textId="77777777" w:rsidR="00D24A4B" w:rsidRDefault="00D24A4B" w:rsidP="00D24A4B">
      <w:pPr>
        <w:pStyle w:val="BodyText"/>
      </w:pPr>
      <w:r w:rsidRPr="004553E5">
        <w:rPr>
          <w:noProof/>
          <w:lang w:val="en-GB" w:eastAsia="en-GB"/>
        </w:rPr>
        <w:drawing>
          <wp:inline distT="0" distB="0" distL="0" distR="0" wp14:anchorId="1CD5F698" wp14:editId="5761F3AB">
            <wp:extent cx="4869999" cy="2263140"/>
            <wp:effectExtent l="0" t="0" r="6985" b="3810"/>
            <wp:docPr id="112" name="Picture 112" descr="C:\Users\narayaku\AppData\Local\Microsoft\Windows\Temporary Internet Files\Content.Outlook\WBGU93VB\Stat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arayaku\AppData\Local\Microsoft\Windows\Temporary Internet Files\Content.Outlook\WBGU93VB\Status.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75154" cy="2265536"/>
                    </a:xfrm>
                    <a:prstGeom prst="rect">
                      <a:avLst/>
                    </a:prstGeom>
                    <a:noFill/>
                    <a:ln>
                      <a:noFill/>
                    </a:ln>
                  </pic:spPr>
                </pic:pic>
              </a:graphicData>
            </a:graphic>
          </wp:inline>
        </w:drawing>
      </w:r>
    </w:p>
    <w:p w14:paraId="02F23498" w14:textId="77777777" w:rsidR="00D24A4B" w:rsidRDefault="00D24A4B" w:rsidP="00D24A4B">
      <w:pPr>
        <w:pStyle w:val="BodyText"/>
      </w:pPr>
    </w:p>
    <w:p w14:paraId="20D84E83" w14:textId="77777777" w:rsidR="00D24A4B" w:rsidRDefault="00D24A4B" w:rsidP="00D24A4B">
      <w:pPr>
        <w:pStyle w:val="FigureCaptionAuto"/>
      </w:pPr>
      <w:r>
        <w:lastRenderedPageBreak/>
        <w:t>Capacity</w:t>
      </w:r>
      <w:r w:rsidRPr="009D2135">
        <w:t xml:space="preserve"> </w:t>
      </w:r>
      <w:r>
        <w:t>Statistics Performance Report</w:t>
      </w:r>
    </w:p>
    <w:p w14:paraId="2548C046" w14:textId="77777777" w:rsidR="00D24A4B" w:rsidRDefault="00D24A4B" w:rsidP="00D24A4B">
      <w:pPr>
        <w:pStyle w:val="BodyText"/>
      </w:pPr>
      <w:r w:rsidRPr="004553E5">
        <w:rPr>
          <w:noProof/>
          <w:lang w:val="en-GB" w:eastAsia="en-GB"/>
        </w:rPr>
        <w:drawing>
          <wp:inline distT="0" distB="0" distL="0" distR="0" wp14:anchorId="63CDC7C7" wp14:editId="68760345">
            <wp:extent cx="4389120" cy="2643407"/>
            <wp:effectExtent l="0" t="0" r="0" b="5080"/>
            <wp:docPr id="113" name="Picture 113" descr="C:\Users\narayaku\AppData\Local\Microsoft\Windows\Temporary Internet Files\Content.Outlook\WBGU93VB\Overall Capacity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arayaku\AppData\Local\Microsoft\Windows\Temporary Internet Files\Content.Outlook\WBGU93VB\Overall Capacity (002).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91405" cy="2644783"/>
                    </a:xfrm>
                    <a:prstGeom prst="rect">
                      <a:avLst/>
                    </a:prstGeom>
                    <a:noFill/>
                    <a:ln>
                      <a:noFill/>
                    </a:ln>
                  </pic:spPr>
                </pic:pic>
              </a:graphicData>
            </a:graphic>
          </wp:inline>
        </w:drawing>
      </w:r>
    </w:p>
    <w:p w14:paraId="73050F40" w14:textId="77777777" w:rsidR="00D24A4B" w:rsidRDefault="00D24A4B" w:rsidP="00D24A4B">
      <w:pPr>
        <w:pStyle w:val="BodyText"/>
      </w:pPr>
    </w:p>
    <w:p w14:paraId="2426F194" w14:textId="77777777" w:rsidR="00D24A4B" w:rsidRDefault="00D24A4B" w:rsidP="00D24A4B">
      <w:pPr>
        <w:pStyle w:val="FigureCaptionAuto"/>
      </w:pPr>
      <w:r>
        <w:t>Service Provider Statistics Performance Report</w:t>
      </w:r>
    </w:p>
    <w:p w14:paraId="050E80D4" w14:textId="77777777" w:rsidR="00D24A4B" w:rsidRDefault="00D24A4B" w:rsidP="00D24A4B">
      <w:pPr>
        <w:pStyle w:val="BodyText"/>
      </w:pPr>
      <w:r w:rsidRPr="0066526E">
        <w:rPr>
          <w:noProof/>
          <w:lang w:val="en-GB" w:eastAsia="en-GB"/>
        </w:rPr>
        <w:drawing>
          <wp:inline distT="0" distB="0" distL="0" distR="0" wp14:anchorId="12685013" wp14:editId="46D4B2DB">
            <wp:extent cx="4372239" cy="2255520"/>
            <wp:effectExtent l="0" t="0" r="9525" b="0"/>
            <wp:docPr id="114" name="Picture 114" descr="C:\Users\narayaku\AppData\Local\Microsoft\Windows\Temporary Internet Files\Content.Outlook\WBGU93VB\Resource Provider Status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arayaku\AppData\Local\Microsoft\Windows\Temporary Internet Files\Content.Outlook\WBGU93VB\Resource Provider Status (002).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84041" cy="2261608"/>
                    </a:xfrm>
                    <a:prstGeom prst="rect">
                      <a:avLst/>
                    </a:prstGeom>
                    <a:noFill/>
                    <a:ln>
                      <a:noFill/>
                    </a:ln>
                  </pic:spPr>
                </pic:pic>
              </a:graphicData>
            </a:graphic>
          </wp:inline>
        </w:drawing>
      </w:r>
    </w:p>
    <w:p w14:paraId="1870F220" w14:textId="77777777" w:rsidR="00D24A4B" w:rsidRDefault="00D24A4B" w:rsidP="00D24A4B">
      <w:pPr>
        <w:pStyle w:val="Bullet1Double0"/>
        <w:shd w:val="clear" w:color="auto" w:fill="DBDCDD"/>
      </w:pPr>
      <w:r>
        <w:t>8.12.8</w:t>
      </w:r>
      <w:r>
        <w:tab/>
        <w:t>Ability to print historical, statistical, and usage reports locally.</w:t>
      </w:r>
    </w:p>
    <w:p w14:paraId="40057670" w14:textId="77777777" w:rsidR="00D24A4B" w:rsidRDefault="00D24A4B" w:rsidP="00D24A4B">
      <w:pPr>
        <w:pStyle w:val="Response"/>
      </w:pPr>
      <w:r>
        <w:t>Response:</w:t>
      </w:r>
    </w:p>
    <w:p w14:paraId="2C9D8519" w14:textId="77777777" w:rsidR="00D24A4B" w:rsidRDefault="00D24A4B" w:rsidP="00D24A4B">
      <w:pPr>
        <w:pStyle w:val="BodyText"/>
      </w:pPr>
      <w:r>
        <w:t>HPE will provide the Metering Tools and methodology to perform the usage measurement and billing for the systems at the Purchasing Entity’s location. The Purchasing Entity will provide a Virtual Machine or equivalent, located in the required infrastructure that will effectively host the Metering Tools on an ongoing basis, throughout the term of this SOW.</w:t>
      </w:r>
    </w:p>
    <w:p w14:paraId="3207E4D4" w14:textId="77777777" w:rsidR="00D24A4B" w:rsidRDefault="00D24A4B" w:rsidP="00D24A4B">
      <w:pPr>
        <w:pStyle w:val="BodyText"/>
      </w:pPr>
      <w:r>
        <w:t>The Metering Tools will query the Systems to determine the quantity of Used Capacity by the Purchasing Entity. These measurements will be the basis for the monthly fee calculation. The output from the Metering Tools will be collected daily by HPE to verify usage data.</w:t>
      </w:r>
    </w:p>
    <w:p w14:paraId="73E25D33" w14:textId="77777777" w:rsidR="00D24A4B" w:rsidRDefault="00D24A4B" w:rsidP="00D24A4B">
      <w:pPr>
        <w:pStyle w:val="BodyText"/>
      </w:pPr>
      <w:r>
        <w:t xml:space="preserve">For a storage device, Used Capacity is the gigabytes of storage allocated (at an unformatted or raw level), as determined from the data collected by the Metering Tools. Used Capacity per day for a storage device is the average of the data collection values collected by the Metering Tools. The monthly Used Capacity is an average of the daily values and is rounded to the nearest whole number (e.g., 10.01 up to and including 10.50 </w:t>
      </w:r>
      <w:r>
        <w:lastRenderedPageBreak/>
        <w:t>will be rounded down to 10.0 and 10.51 up to and including 10.99 will be rounded up to 11). The monthly fee will be calculated using the monthly average Used Capacity. HPTE will be responsible for ongoing administration, upgrades, and maintenance of the HPE Metering Tools. This will include identification and installation of Metering Tool patches.</w:t>
      </w:r>
    </w:p>
    <w:p w14:paraId="4E1E529B" w14:textId="77777777" w:rsidR="00D24A4B" w:rsidRDefault="00D24A4B" w:rsidP="00D24A4B">
      <w:pPr>
        <w:pStyle w:val="BodyText"/>
      </w:pPr>
      <w:r>
        <w:t xml:space="preserve">HPE will provide access to an HPE portal using security features that allow the Purchasing Entity to view/print the Purchasing Entity usage data. The Purchasing Entity and HPE will mutually agree on the list of Purchasing Entity employees who will have access to the usage data. </w:t>
      </w:r>
    </w:p>
    <w:p w14:paraId="7C53DF7E" w14:textId="77777777" w:rsidR="00D24A4B" w:rsidRDefault="00D24A4B" w:rsidP="00D24A4B">
      <w:pPr>
        <w:pStyle w:val="FigureCaptionAuto"/>
      </w:pPr>
      <w:r>
        <w:t>HPE Metering Portal</w:t>
      </w:r>
    </w:p>
    <w:p w14:paraId="38B1E726" w14:textId="77777777" w:rsidR="00D24A4B" w:rsidRPr="00395B02" w:rsidRDefault="00D24A4B" w:rsidP="00D24A4B">
      <w:pPr>
        <w:pStyle w:val="BodyText"/>
      </w:pPr>
      <w:r w:rsidRPr="002F25CB">
        <w:rPr>
          <w:noProof/>
          <w:lang w:val="en-GB" w:eastAsia="en-GB"/>
        </w:rPr>
        <w:drawing>
          <wp:inline distT="0" distB="0" distL="0" distR="0" wp14:anchorId="68DE601C" wp14:editId="361A093C">
            <wp:extent cx="5624830" cy="296037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624830" cy="2960370"/>
                    </a:xfrm>
                    <a:prstGeom prst="rect">
                      <a:avLst/>
                    </a:prstGeom>
                  </pic:spPr>
                </pic:pic>
              </a:graphicData>
            </a:graphic>
          </wp:inline>
        </w:drawing>
      </w:r>
    </w:p>
    <w:p w14:paraId="1BFD78BF" w14:textId="77777777" w:rsidR="00D24A4B" w:rsidRDefault="00D24A4B" w:rsidP="00D24A4B">
      <w:pPr>
        <w:pStyle w:val="Bullet1Double0"/>
        <w:shd w:val="clear" w:color="auto" w:fill="DBDCDD"/>
        <w:ind w:left="720" w:hanging="720"/>
      </w:pPr>
      <w:r>
        <w:t>8.12.9</w:t>
      </w:r>
      <w:r>
        <w:tab/>
        <w:t>Offeror must describe whether or not its on-demand deployment is supported 24x365.</w:t>
      </w:r>
    </w:p>
    <w:p w14:paraId="660DE5FD" w14:textId="77777777" w:rsidR="00D24A4B" w:rsidRDefault="00D24A4B" w:rsidP="00D24A4B">
      <w:pPr>
        <w:pStyle w:val="Response"/>
      </w:pPr>
      <w:r>
        <w:t>Response:</w:t>
      </w:r>
    </w:p>
    <w:p w14:paraId="3E3D1A5D" w14:textId="77777777" w:rsidR="00D24A4B" w:rsidRDefault="00D24A4B" w:rsidP="00D24A4B">
      <w:pPr>
        <w:pStyle w:val="BodyText"/>
      </w:pPr>
      <w:r w:rsidRPr="00285F73">
        <w:t xml:space="preserve">The HPE </w:t>
      </w:r>
      <w:r>
        <w:t>GreenLake Flex Capacity Packages are</w:t>
      </w:r>
      <w:r w:rsidRPr="00285F73">
        <w:t xml:space="preserve"> installed at the Purchasing Entity site and becomes the Purchasing Entity client’s responsibility for deployment/usage of the system</w:t>
      </w:r>
      <w:r>
        <w:t xml:space="preserve">. </w:t>
      </w:r>
    </w:p>
    <w:p w14:paraId="49293A80" w14:textId="77777777" w:rsidR="00D24A4B" w:rsidRDefault="00D24A4B" w:rsidP="00D24A4B">
      <w:pPr>
        <w:pStyle w:val="BodyText"/>
      </w:pPr>
      <w:r w:rsidRPr="00285F73">
        <w:t>Purchasing Entity will be able to do on-demand deployment of the variable and buffer capacity that is installed at their site</w:t>
      </w:r>
      <w:r>
        <w:t xml:space="preserve">. </w:t>
      </w:r>
      <w:r w:rsidRPr="00285F73">
        <w:t>When usage gets close to the installed capacity, then Purchasing Entity will need to initiate a change order to have HPE install additional capacity</w:t>
      </w:r>
      <w:r>
        <w:t xml:space="preserve">. </w:t>
      </w:r>
      <w:r w:rsidRPr="00285F73">
        <w:t>Once installed, the capacity would become the variable capacity and buffer and would be deployable by Purchasing Entity on-demand</w:t>
      </w:r>
      <w:r>
        <w:t xml:space="preserve">. </w:t>
      </w:r>
      <w:r w:rsidRPr="00285F73">
        <w:t>Once the capacity is deployed, the metering SW would report it as used and would be included on the next monthly invoice.</w:t>
      </w:r>
    </w:p>
    <w:p w14:paraId="4DB61CBC" w14:textId="77777777" w:rsidR="00D24A4B" w:rsidRDefault="00D24A4B" w:rsidP="00D24A4B">
      <w:pPr>
        <w:pStyle w:val="BodyText"/>
      </w:pPr>
      <w:r w:rsidRPr="00DD0185">
        <w:t>The default is business hours, but HPE can provide 24X365 for additional cost. Idle buffer</w:t>
      </w:r>
      <w:r>
        <w:t xml:space="preserve"> is available on premises as part of the HPE GreenLake Flex Capacity packages and is available to Purchasing Entity to implement or use 24x7 to meet emergency expansion or planned growth parameters. Buffer is not part of the monthly charge unless used. HPE will also install additional capacity for planned growth and if needed, deployment of additional capacity may be rushed if mutually agreed between Purchasing Entity and HPE.</w:t>
      </w:r>
    </w:p>
    <w:p w14:paraId="5E794923" w14:textId="77777777" w:rsidR="00D24A4B" w:rsidRPr="00395B02" w:rsidRDefault="00D24A4B" w:rsidP="00D24A4B">
      <w:pPr>
        <w:pStyle w:val="BodyText"/>
      </w:pPr>
      <w:r>
        <w:t>Any services not explicitly defined in this SOW will be solutioned and priced on a per event basis. Examples include, but are not limited to; design, migration, managed services, architecture, etc. These services will be charged at current HPE rates for onsite services.</w:t>
      </w:r>
    </w:p>
    <w:p w14:paraId="6DF7B2AE" w14:textId="77777777" w:rsidR="00D24A4B" w:rsidRDefault="00D24A4B" w:rsidP="00D24A4B">
      <w:pPr>
        <w:pStyle w:val="Bullet1Double0"/>
        <w:shd w:val="clear" w:color="auto" w:fill="DBDCDD"/>
        <w:ind w:left="1440" w:hanging="1440"/>
      </w:pPr>
      <w:r>
        <w:lastRenderedPageBreak/>
        <w:t xml:space="preserve">8.12.10  </w:t>
      </w:r>
      <w:r>
        <w:tab/>
        <w:t>Offeror must describe its scale-up and scale-down, and whether it is available 24x365.</w:t>
      </w:r>
    </w:p>
    <w:p w14:paraId="528EBDC9" w14:textId="77777777" w:rsidR="00D24A4B" w:rsidRDefault="00D24A4B" w:rsidP="00D24A4B">
      <w:pPr>
        <w:pStyle w:val="Response"/>
      </w:pPr>
      <w:r>
        <w:t>Response:</w:t>
      </w:r>
    </w:p>
    <w:p w14:paraId="4913BC88" w14:textId="77777777" w:rsidR="00D24A4B" w:rsidRDefault="00D24A4B" w:rsidP="00D24A4B">
      <w:pPr>
        <w:pStyle w:val="BodyText"/>
      </w:pPr>
      <w:r w:rsidRPr="00285F73">
        <w:t xml:space="preserve">The HPE </w:t>
      </w:r>
      <w:r>
        <w:t>GreenLake Flex Capacity Packages are</w:t>
      </w:r>
      <w:r w:rsidRPr="00285F73">
        <w:t xml:space="preserve"> installed at the Purchasing Entity site and becomes the Purchasing Entity client’s responsibility for deployment/usage of the system</w:t>
      </w:r>
      <w:r>
        <w:t xml:space="preserve">. </w:t>
      </w:r>
    </w:p>
    <w:p w14:paraId="1534988F" w14:textId="77777777" w:rsidR="00D24A4B" w:rsidRPr="00395B02" w:rsidRDefault="00D24A4B" w:rsidP="00D24A4B">
      <w:pPr>
        <w:pStyle w:val="BodyText"/>
      </w:pPr>
      <w:r w:rsidRPr="00285F73">
        <w:t xml:space="preserve">With </w:t>
      </w:r>
      <w:r>
        <w:t xml:space="preserve">GreenLake </w:t>
      </w:r>
      <w:r w:rsidRPr="00285F73">
        <w:t>it is possible to scale-up and scale-down your usage 24x365, therefore it is also known as the 'Pay as you go' model. The minimal usage is called the 'committed capacity' which is agreed upon at the start of the service and will be reviewed annually. The charged consumption will never be less than the committed capacity; however, you can flex up and down above the minimum committed capacity</w:t>
      </w:r>
      <w:r>
        <w:t xml:space="preserve">. </w:t>
      </w:r>
    </w:p>
    <w:p w14:paraId="1DCD4FB0" w14:textId="77777777" w:rsidR="00D24A4B" w:rsidRDefault="00D24A4B" w:rsidP="00D24A4B">
      <w:pPr>
        <w:pStyle w:val="Heading30"/>
      </w:pPr>
      <w:bookmarkStart w:id="45" w:name="_Toc514418400"/>
      <w:bookmarkStart w:id="46" w:name="_Toc518548600"/>
      <w:r>
        <w:t>8.13</w:t>
      </w:r>
      <w:r>
        <w:tab/>
        <w:t>(E) Cloud Security Alliance</w:t>
      </w:r>
      <w:bookmarkEnd w:id="45"/>
      <w:bookmarkEnd w:id="46"/>
    </w:p>
    <w:p w14:paraId="6876CD14" w14:textId="77777777" w:rsidR="00D24A4B" w:rsidRPr="008168FA" w:rsidRDefault="00D24A4B" w:rsidP="00D24A4B">
      <w:pPr>
        <w:shd w:val="clear" w:color="auto" w:fill="E2EFD9" w:themeFill="accent6" w:themeFillTint="33"/>
        <w:spacing w:after="160" w:line="259" w:lineRule="auto"/>
        <w:rPr>
          <w:rFonts w:ascii="Arial" w:eastAsia="PMingLiU" w:hAnsi="Arial" w:cs="Times New Roman"/>
          <w:szCs w:val="20"/>
          <w:lang w:val="en-GB"/>
        </w:rPr>
      </w:pPr>
      <w:r w:rsidRPr="0077024E">
        <w:rPr>
          <w:rFonts w:ascii="Arial" w:eastAsia="PMingLiU" w:hAnsi="Arial" w:cs="Times New Roman"/>
          <w:szCs w:val="20"/>
          <w:lang w:val="en-GB"/>
        </w:rPr>
        <w:t xml:space="preserve">HPE </w:t>
      </w:r>
      <w:r>
        <w:rPr>
          <w:rFonts w:ascii="Arial" w:eastAsia="PMingLiU" w:hAnsi="Arial" w:cs="Times New Roman"/>
          <w:szCs w:val="20"/>
          <w:lang w:val="en-GB"/>
        </w:rPr>
        <w:t>hybrid cloud</w:t>
      </w:r>
      <w:r w:rsidRPr="0077024E">
        <w:rPr>
          <w:rFonts w:ascii="Arial" w:eastAsia="PMingLiU" w:hAnsi="Arial" w:cs="Times New Roman"/>
          <w:szCs w:val="20"/>
          <w:lang w:val="en-GB"/>
        </w:rPr>
        <w:t xml:space="preserve"> solution is a fully integrated system that delivers Azure compatible, software defined Infrastructure-as-a-Service (IaaS), Platform-as-a-Service (PaaS) on HPE hardware and Software-as-a-Service (SaaS) on Microsoft’ Azure public cloud is a superior offering for Purchasing Entity</w:t>
      </w:r>
      <w:r w:rsidRPr="008168FA">
        <w:rPr>
          <w:rFonts w:ascii="Arial" w:eastAsia="PMingLiU" w:hAnsi="Arial" w:cs="Times New Roman"/>
          <w:szCs w:val="20"/>
          <w:lang w:val="en-GB"/>
        </w:rPr>
        <w:t>:</w:t>
      </w:r>
    </w:p>
    <w:p w14:paraId="30A676AC" w14:textId="77777777" w:rsidR="00D24A4B" w:rsidRPr="008168FA"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D1319A">
        <w:rPr>
          <w:rFonts w:ascii="Arial" w:eastAsia="PMingLiU" w:hAnsi="Arial" w:cs="Times New Roman"/>
          <w:szCs w:val="20"/>
        </w:rPr>
        <w:t>MICROSOFT AZURE STACK – COMPLIANCE WITH CSA CCM 3.0.1</w:t>
      </w:r>
    </w:p>
    <w:p w14:paraId="7D23685E" w14:textId="77777777" w:rsidR="00D24A4B" w:rsidRPr="008168FA"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D1319A">
        <w:rPr>
          <w:rFonts w:ascii="Arial" w:eastAsia="PMingLiU" w:hAnsi="Arial" w:cs="Times New Roman"/>
          <w:szCs w:val="20"/>
        </w:rPr>
        <w:t>CSA Cloud Controls Matrix (CCM) self-assessment has been completed</w:t>
      </w:r>
    </w:p>
    <w:p w14:paraId="5267CDB7" w14:textId="77777777" w:rsidR="00D24A4B" w:rsidRDefault="00D24A4B" w:rsidP="00D24A4B">
      <w:pPr>
        <w:pStyle w:val="BodyText0"/>
      </w:pPr>
      <w:r>
        <w:t>Describe and provide your level of disclosure with CSA Star Registry for each Solution offered.</w:t>
      </w:r>
    </w:p>
    <w:p w14:paraId="734BD126" w14:textId="77777777" w:rsidR="00D24A4B" w:rsidRDefault="00D24A4B" w:rsidP="00D24A4B">
      <w:pPr>
        <w:pStyle w:val="Bullet1Double0"/>
        <w:shd w:val="clear" w:color="auto" w:fill="DBDCDD"/>
      </w:pPr>
      <w:r>
        <w:t>a.</w:t>
      </w:r>
      <w:r>
        <w:tab/>
        <w:t>Completion of a CSA STAR Self-Assessment. (3 points)</w:t>
      </w:r>
    </w:p>
    <w:p w14:paraId="3EA39FAF" w14:textId="77777777" w:rsidR="00D24A4B" w:rsidRDefault="00D24A4B" w:rsidP="00D24A4B">
      <w:pPr>
        <w:pStyle w:val="Bullet1Double0"/>
        <w:shd w:val="clear" w:color="auto" w:fill="DBDCDD"/>
      </w:pPr>
      <w:r>
        <w:t>b.</w:t>
      </w:r>
      <w:r>
        <w:tab/>
        <w:t>Completion of Exhibits 1 and 2 to Attachment B. (3 points)</w:t>
      </w:r>
    </w:p>
    <w:p w14:paraId="2631C03D" w14:textId="77777777" w:rsidR="00D24A4B" w:rsidRDefault="00D24A4B" w:rsidP="00D24A4B">
      <w:pPr>
        <w:pStyle w:val="Bullet1Double0"/>
        <w:shd w:val="clear" w:color="auto" w:fill="DBDCDD"/>
      </w:pPr>
      <w:r>
        <w:t xml:space="preserve">c. </w:t>
      </w:r>
      <w:r>
        <w:tab/>
        <w:t>Completion of a CSA STAR Attestation, Certification, or Assessment. (4 points)</w:t>
      </w:r>
    </w:p>
    <w:p w14:paraId="5DA89875" w14:textId="77777777" w:rsidR="00D24A4B" w:rsidRDefault="00D24A4B" w:rsidP="00D24A4B">
      <w:pPr>
        <w:pStyle w:val="Bullet1Double0"/>
        <w:shd w:val="clear" w:color="auto" w:fill="DBDCDD"/>
      </w:pPr>
      <w:r>
        <w:t>d.</w:t>
      </w:r>
      <w:r>
        <w:tab/>
        <w:t>Completion CSA STAR Continuous Monitoring. (5 points)</w:t>
      </w:r>
    </w:p>
    <w:p w14:paraId="27EDB877" w14:textId="77777777" w:rsidR="00D24A4B" w:rsidRDefault="00D24A4B" w:rsidP="00D24A4B">
      <w:pPr>
        <w:pStyle w:val="Response"/>
      </w:pPr>
      <w:r>
        <w:t>Response:</w:t>
      </w:r>
    </w:p>
    <w:p w14:paraId="65CA7FA6" w14:textId="77777777" w:rsidR="00D24A4B" w:rsidRPr="00C34D29" w:rsidRDefault="00D24A4B" w:rsidP="00D24A4B">
      <w:pPr>
        <w:pStyle w:val="BodyText"/>
      </w:pPr>
      <w:r w:rsidRPr="00C34D29">
        <w:t>A CSA Cloud Controls Matrix (CCM) self-assessment has been completed for HPE GreenLake Flex Capacity Packages.</w:t>
      </w:r>
    </w:p>
    <w:p w14:paraId="248FFC04" w14:textId="77777777" w:rsidR="00D24A4B" w:rsidRPr="00635DC6" w:rsidRDefault="00D24A4B" w:rsidP="00D24A4B">
      <w:pPr>
        <w:pStyle w:val="BodyText"/>
        <w:rPr>
          <w:i/>
          <w:iCs/>
        </w:rPr>
      </w:pPr>
      <w:r w:rsidRPr="00635DC6">
        <w:rPr>
          <w:i/>
          <w:iCs/>
        </w:rPr>
        <w:t>CSA STAR Self-Assessment is a complimentary offering that documents the security controls provided by various cloud computing offerings, thereby helping users assess the security of cloud providers they currently use or are considering using</w:t>
      </w:r>
      <w:r>
        <w:rPr>
          <w:i/>
          <w:iCs/>
        </w:rPr>
        <w:t xml:space="preserve">. </w:t>
      </w:r>
      <w:r w:rsidRPr="00635DC6">
        <w:rPr>
          <w:i/>
          <w:iCs/>
        </w:rPr>
        <w:t>Cloud providers either submit a completed The Consensus Assessments Initiative Questionnaire (CAIQ), or to submit a report documenting compliance with Cloud Controls Matrix (CCM). This information then becomes publicly available, promoting industry transparency and providing customer visibility into specific provider security practices.</w:t>
      </w:r>
    </w:p>
    <w:p w14:paraId="42C3F0D5" w14:textId="77777777" w:rsidR="00D24A4B" w:rsidRPr="00635DC6" w:rsidRDefault="00D24A4B" w:rsidP="00D24A4B">
      <w:pPr>
        <w:pStyle w:val="BodyText"/>
      </w:pPr>
      <w:r w:rsidRPr="00635DC6">
        <w:t xml:space="preserve">HPE has completed the CAIQ. </w:t>
      </w:r>
    </w:p>
    <w:p w14:paraId="71FAEAE0" w14:textId="77777777" w:rsidR="00D24A4B" w:rsidRPr="00635DC6" w:rsidRDefault="00D24A4B" w:rsidP="00D24A4B">
      <w:pPr>
        <w:pStyle w:val="BodyText"/>
        <w:rPr>
          <w:i/>
          <w:iCs/>
        </w:rPr>
      </w:pPr>
      <w:r w:rsidRPr="00635DC6">
        <w:rPr>
          <w:i/>
          <w:iCs/>
        </w:rPr>
        <w:t>LEVEL ONE: CSA GDPR Code of Conduct Self-Assessment</w:t>
      </w:r>
    </w:p>
    <w:p w14:paraId="421188DD" w14:textId="77777777" w:rsidR="00D24A4B" w:rsidRPr="00635DC6" w:rsidRDefault="00D24A4B" w:rsidP="00D24A4B">
      <w:pPr>
        <w:pStyle w:val="BodyText"/>
        <w:numPr>
          <w:ilvl w:val="0"/>
          <w:numId w:val="14"/>
        </w:numPr>
        <w:tabs>
          <w:tab w:val="clear" w:pos="1440"/>
          <w:tab w:val="num" w:pos="1080"/>
        </w:tabs>
        <w:ind w:left="1080"/>
        <w:rPr>
          <w:i/>
          <w:iCs/>
        </w:rPr>
      </w:pPr>
      <w:r w:rsidRPr="00635DC6">
        <w:rPr>
          <w:i/>
          <w:iCs/>
        </w:rPr>
        <w:t>The Code Self-Assessment consist in the voluntary publication on the STAR Registry of two documents:</w:t>
      </w:r>
    </w:p>
    <w:p w14:paraId="35BC58EF" w14:textId="77777777" w:rsidR="00D24A4B" w:rsidRPr="00635DC6" w:rsidRDefault="00D24A4B" w:rsidP="00486253">
      <w:pPr>
        <w:pStyle w:val="BodyText"/>
        <w:numPr>
          <w:ilvl w:val="0"/>
          <w:numId w:val="41"/>
        </w:numPr>
        <w:rPr>
          <w:lang w:val="en-GB"/>
        </w:rPr>
      </w:pPr>
      <w:r w:rsidRPr="00136FBC">
        <w:rPr>
          <w:lang w:val="en-GB"/>
        </w:rPr>
        <w:t>Code of Conduct Statement of Adherence</w:t>
      </w:r>
      <w:r w:rsidRPr="00635DC6">
        <w:rPr>
          <w:lang w:val="en-GB"/>
        </w:rPr>
        <w:t>, PLA-CoC_Statement-of-Adherence__Self-Assessment.pdf – attached. This states that the services we offer (NONE) adhere to the code of conduct</w:t>
      </w:r>
    </w:p>
    <w:p w14:paraId="15AC89B7" w14:textId="77777777" w:rsidR="00D24A4B" w:rsidRPr="00635DC6" w:rsidRDefault="00D24A4B" w:rsidP="00486253">
      <w:pPr>
        <w:pStyle w:val="BodyText"/>
        <w:numPr>
          <w:ilvl w:val="0"/>
          <w:numId w:val="41"/>
        </w:numPr>
        <w:rPr>
          <w:lang w:val="en-GB"/>
        </w:rPr>
      </w:pPr>
      <w:r w:rsidRPr="00136FBC">
        <w:rPr>
          <w:lang w:val="en-GB"/>
        </w:rPr>
        <w:lastRenderedPageBreak/>
        <w:t>Self-assessment results based on the PLA Code of Practice (CoP) Template - Annex 1</w:t>
      </w:r>
      <w:r w:rsidRPr="00635DC6">
        <w:rPr>
          <w:lang w:val="en-GB"/>
        </w:rPr>
        <w:t>  CoC_GDPR_Annex_1_Compliance_Assessment_Template.xls – attached. This details whether we are data processor or data controller (NEITHER) for every Code of Conduct Requirement, as well as how the services we don’t offer achieves compliance with the code of conduct objectives for the data we don’t possess. L</w:t>
      </w:r>
    </w:p>
    <w:p w14:paraId="172BF07F" w14:textId="77777777" w:rsidR="00D24A4B" w:rsidRPr="00635DC6" w:rsidRDefault="00D24A4B" w:rsidP="00D24A4B">
      <w:pPr>
        <w:pStyle w:val="BodyText"/>
        <w:numPr>
          <w:ilvl w:val="0"/>
          <w:numId w:val="14"/>
        </w:numPr>
        <w:tabs>
          <w:tab w:val="clear" w:pos="1440"/>
          <w:tab w:val="num" w:pos="1080"/>
        </w:tabs>
        <w:ind w:left="1080"/>
        <w:rPr>
          <w:i/>
          <w:iCs/>
        </w:rPr>
      </w:pPr>
      <w:r w:rsidRPr="00635DC6">
        <w:rPr>
          <w:i/>
          <w:iCs/>
        </w:rPr>
        <w:t>The Code Self-Assessment covers the compliance to GDPR of the service(s) offered by a CSP. A submission fee of €1495 euros is required to facilitate the publication. A company after the publication of the relevant document on the Registry will receive a Compliance Mark valid for 1 year. The Self-Assessment shall be revised every time there’s a change to the company policies or practices related to the service under assessment.</w:t>
      </w:r>
    </w:p>
    <w:p w14:paraId="0BB608C3" w14:textId="77777777" w:rsidR="00D24A4B" w:rsidRPr="00635DC6" w:rsidRDefault="00D24A4B" w:rsidP="00D24A4B">
      <w:pPr>
        <w:pStyle w:val="BodyText"/>
        <w:rPr>
          <w:i/>
          <w:iCs/>
        </w:rPr>
      </w:pPr>
      <w:r w:rsidRPr="00635DC6">
        <w:rPr>
          <w:i/>
          <w:iCs/>
        </w:rPr>
        <w:t>LEVEL TWO: CSA STAR Attestation</w:t>
      </w:r>
    </w:p>
    <w:p w14:paraId="617AE566" w14:textId="77777777" w:rsidR="00D24A4B" w:rsidRPr="00635DC6" w:rsidRDefault="00D24A4B" w:rsidP="00D24A4B">
      <w:pPr>
        <w:pStyle w:val="BodyText"/>
        <w:numPr>
          <w:ilvl w:val="0"/>
          <w:numId w:val="14"/>
        </w:numPr>
        <w:tabs>
          <w:tab w:val="clear" w:pos="1440"/>
          <w:tab w:val="num" w:pos="1080"/>
        </w:tabs>
        <w:ind w:left="1080"/>
        <w:rPr>
          <w:i/>
          <w:iCs/>
        </w:rPr>
      </w:pPr>
      <w:r w:rsidRPr="00635DC6">
        <w:rPr>
          <w:i/>
          <w:iCs/>
        </w:rPr>
        <w:t xml:space="preserve">CSA STAR Attestation is a collaboration between CSA and the AICPA to provide guidelines for CPAs to conduct SOC 2 engagements using criteria from the AICPA (Trust Service Principles, AT 101) and the CSA Cloud Controls Matrix. STAR Attestation provides for rigorous third party independent assessments of cloud providers. </w:t>
      </w:r>
    </w:p>
    <w:p w14:paraId="42BF5B9D" w14:textId="77777777" w:rsidR="00D24A4B" w:rsidRPr="00DA3080" w:rsidRDefault="00D24A4B" w:rsidP="00D24A4B">
      <w:pPr>
        <w:pStyle w:val="BodyText"/>
      </w:pPr>
      <w:r w:rsidRPr="00635DC6">
        <w:t xml:space="preserve">Per the above, this is an external Statement on Controls (SOC) Type 2 assessment of a cloud service provider, which we </w:t>
      </w:r>
      <w:r>
        <w:t>are not.</w:t>
      </w:r>
    </w:p>
    <w:p w14:paraId="422A5C8B" w14:textId="77777777" w:rsidR="00D24A4B" w:rsidRPr="00635DC6" w:rsidRDefault="00D24A4B" w:rsidP="00D24A4B">
      <w:pPr>
        <w:pStyle w:val="BodyText"/>
        <w:rPr>
          <w:i/>
          <w:iCs/>
        </w:rPr>
      </w:pPr>
      <w:r w:rsidRPr="00635DC6">
        <w:rPr>
          <w:i/>
          <w:iCs/>
        </w:rPr>
        <w:t>LEVEL TWO: CSA STAR Certification</w:t>
      </w:r>
    </w:p>
    <w:p w14:paraId="6E2D1769" w14:textId="77777777" w:rsidR="00D24A4B" w:rsidRPr="00136FBC" w:rsidRDefault="00D24A4B" w:rsidP="00D24A4B">
      <w:pPr>
        <w:pStyle w:val="BodyText"/>
        <w:numPr>
          <w:ilvl w:val="0"/>
          <w:numId w:val="14"/>
        </w:numPr>
        <w:tabs>
          <w:tab w:val="clear" w:pos="1440"/>
          <w:tab w:val="num" w:pos="1080"/>
        </w:tabs>
        <w:ind w:left="1080"/>
        <w:rPr>
          <w:i/>
          <w:iCs/>
        </w:rPr>
      </w:pPr>
      <w:r w:rsidRPr="00635DC6">
        <w:rPr>
          <w:i/>
          <w:iCs/>
        </w:rPr>
        <w:t>The CSA STAR Certification is a rigorous third-party independent assessment of the security of a cloud service provider. The technology-neutral certification leverages the requirements of the ISO/IEC 27001:2005 management system standard together with the CSA Cloud Controls Matrix.</w:t>
      </w:r>
    </w:p>
    <w:p w14:paraId="52E80BF5" w14:textId="77777777" w:rsidR="00D24A4B" w:rsidRPr="00635DC6" w:rsidRDefault="00D24A4B" w:rsidP="00D24A4B">
      <w:pPr>
        <w:pStyle w:val="BodyText"/>
      </w:pPr>
      <w:r w:rsidRPr="00635DC6">
        <w:t>Per the above, this is an external ISO 27001-based security assessment of a cloud service provider, which we are not.</w:t>
      </w:r>
    </w:p>
    <w:p w14:paraId="2B1F96BD" w14:textId="77777777" w:rsidR="00D24A4B" w:rsidRPr="00635DC6" w:rsidRDefault="00D24A4B" w:rsidP="00D24A4B">
      <w:pPr>
        <w:pStyle w:val="BodyText"/>
        <w:rPr>
          <w:i/>
          <w:iCs/>
        </w:rPr>
      </w:pPr>
      <w:r w:rsidRPr="00635DC6">
        <w:rPr>
          <w:i/>
          <w:iCs/>
        </w:rPr>
        <w:t xml:space="preserve">LEVEL </w:t>
      </w:r>
      <w:r>
        <w:rPr>
          <w:i/>
          <w:iCs/>
        </w:rPr>
        <w:t>THREE</w:t>
      </w:r>
      <w:r w:rsidRPr="00635DC6">
        <w:rPr>
          <w:i/>
          <w:iCs/>
        </w:rPr>
        <w:t>: CSA C-STAR Assessment</w:t>
      </w:r>
    </w:p>
    <w:p w14:paraId="75E6973D" w14:textId="77777777" w:rsidR="00D24A4B" w:rsidRPr="00635DC6" w:rsidRDefault="00D24A4B" w:rsidP="00D24A4B">
      <w:pPr>
        <w:pStyle w:val="BodyText"/>
        <w:numPr>
          <w:ilvl w:val="0"/>
          <w:numId w:val="14"/>
        </w:numPr>
        <w:tabs>
          <w:tab w:val="clear" w:pos="1440"/>
          <w:tab w:val="num" w:pos="1080"/>
        </w:tabs>
        <w:ind w:left="1080"/>
        <w:rPr>
          <w:i/>
          <w:iCs/>
        </w:rPr>
      </w:pPr>
      <w:r w:rsidRPr="00635DC6">
        <w:rPr>
          <w:i/>
          <w:iCs/>
        </w:rPr>
        <w:t xml:space="preserve">The CSA C-STAR Assessment is a robust third party independent assessment of the security of a cloud service provider for the Greater China market that harmonizes CSA best practices with Chinese national standards. C-STAR leverages the requirements of the GB/T 22080-2008 management system standard together with the CSA Cloud Controls Matrix, plus 29 related controls selected from GB/T 22239-2008 and GB/Z 28828-2012. </w:t>
      </w:r>
    </w:p>
    <w:p w14:paraId="2A450369" w14:textId="77777777" w:rsidR="00D24A4B" w:rsidRDefault="00D24A4B" w:rsidP="00D24A4B">
      <w:pPr>
        <w:pStyle w:val="BodyText"/>
      </w:pPr>
      <w:r w:rsidRPr="00635DC6">
        <w:t>China-specific, but also for service providers</w:t>
      </w:r>
    </w:p>
    <w:p w14:paraId="34A09D8D" w14:textId="77777777" w:rsidR="00D24A4B" w:rsidRPr="00635DC6" w:rsidRDefault="00D24A4B" w:rsidP="00D24A4B">
      <w:pPr>
        <w:pStyle w:val="BodyText"/>
        <w:rPr>
          <w:i/>
          <w:iCs/>
        </w:rPr>
      </w:pPr>
      <w:r w:rsidRPr="00635DC6">
        <w:rPr>
          <w:i/>
          <w:iCs/>
        </w:rPr>
        <w:t xml:space="preserve">LEVEL </w:t>
      </w:r>
      <w:r>
        <w:rPr>
          <w:i/>
          <w:iCs/>
        </w:rPr>
        <w:t>FOUR</w:t>
      </w:r>
      <w:r w:rsidRPr="00635DC6">
        <w:rPr>
          <w:i/>
          <w:iCs/>
        </w:rPr>
        <w:t>: CSA STAR Continuous Monitoring</w:t>
      </w:r>
    </w:p>
    <w:p w14:paraId="10C8EBDD" w14:textId="77777777" w:rsidR="00D24A4B" w:rsidRPr="00635DC6" w:rsidRDefault="00D24A4B" w:rsidP="00D24A4B">
      <w:pPr>
        <w:pStyle w:val="BodyText"/>
        <w:numPr>
          <w:ilvl w:val="0"/>
          <w:numId w:val="14"/>
        </w:numPr>
        <w:tabs>
          <w:tab w:val="clear" w:pos="1440"/>
          <w:tab w:val="num" w:pos="1080"/>
        </w:tabs>
        <w:ind w:left="1080"/>
        <w:rPr>
          <w:i/>
          <w:iCs/>
        </w:rPr>
      </w:pPr>
      <w:r w:rsidRPr="00635DC6">
        <w:rPr>
          <w:i/>
          <w:iCs/>
        </w:rPr>
        <w:t xml:space="preserve">Currently under development, CSA STAR Continuous Monitoring enables automation of the current security practices of cloud providers. Providers publish their security practices according to CSA formatting and specifications, and customers and tool vendors can retrieve and present this information in a variety of contexts. </w:t>
      </w:r>
    </w:p>
    <w:p w14:paraId="070D3543" w14:textId="77777777" w:rsidR="00D24A4B" w:rsidRDefault="00D24A4B" w:rsidP="00D24A4B">
      <w:pPr>
        <w:pStyle w:val="BodyText"/>
      </w:pPr>
      <w:r w:rsidRPr="00C34D29">
        <w:t>The assessment is being submitted as a standalone document.</w:t>
      </w:r>
    </w:p>
    <w:p w14:paraId="20C0F2C1" w14:textId="77777777" w:rsidR="00D24A4B" w:rsidRDefault="00D24A4B" w:rsidP="00D24A4B">
      <w:pPr>
        <w:pStyle w:val="Heading30"/>
      </w:pPr>
      <w:bookmarkStart w:id="47" w:name="_Toc514418401"/>
      <w:bookmarkStart w:id="48" w:name="_Toc518548601"/>
      <w:r>
        <w:t>8.14</w:t>
      </w:r>
      <w:r>
        <w:tab/>
        <w:t>(E) Service Provisioning</w:t>
      </w:r>
      <w:bookmarkEnd w:id="47"/>
      <w:bookmarkEnd w:id="48"/>
    </w:p>
    <w:p w14:paraId="252D9E6C" w14:textId="77777777" w:rsidR="00D24A4B" w:rsidRPr="008168FA" w:rsidRDefault="00D24A4B" w:rsidP="00D24A4B">
      <w:pPr>
        <w:shd w:val="clear" w:color="auto" w:fill="E2EFD9" w:themeFill="accent6" w:themeFillTint="33"/>
        <w:spacing w:after="160" w:line="259" w:lineRule="auto"/>
        <w:rPr>
          <w:rFonts w:ascii="Arial" w:eastAsia="PMingLiU" w:hAnsi="Arial" w:cs="Times New Roman"/>
          <w:szCs w:val="20"/>
          <w:lang w:val="en-GB"/>
        </w:rPr>
      </w:pPr>
      <w:r w:rsidRPr="00336A98">
        <w:rPr>
          <w:rFonts w:ascii="Arial" w:eastAsia="PMingLiU" w:hAnsi="Arial" w:cs="Times New Roman"/>
          <w:szCs w:val="20"/>
          <w:lang w:val="en-GB"/>
        </w:rPr>
        <w:t xml:space="preserve">HPE </w:t>
      </w:r>
      <w:r>
        <w:rPr>
          <w:rFonts w:ascii="Arial" w:eastAsia="PMingLiU" w:hAnsi="Arial" w:cs="Times New Roman"/>
          <w:szCs w:val="20"/>
          <w:lang w:val="en-GB"/>
        </w:rPr>
        <w:t>hybrid cloud</w:t>
      </w:r>
      <w:r w:rsidRPr="00336A98">
        <w:rPr>
          <w:rFonts w:ascii="Arial" w:eastAsia="PMingLiU" w:hAnsi="Arial" w:cs="Times New Roman"/>
          <w:szCs w:val="20"/>
          <w:lang w:val="en-GB"/>
        </w:rPr>
        <w:t xml:space="preserve"> solution is a fully integrated system that delivers Azure compatible, software defined Infrastructure-as-a-Service (IaaS), Platform-as-a-Service (PaaS) on HPE </w:t>
      </w:r>
      <w:r w:rsidRPr="00336A98">
        <w:rPr>
          <w:rFonts w:ascii="Arial" w:eastAsia="PMingLiU" w:hAnsi="Arial" w:cs="Times New Roman"/>
          <w:szCs w:val="20"/>
          <w:lang w:val="en-GB"/>
        </w:rPr>
        <w:lastRenderedPageBreak/>
        <w:t>hardware and Software-as-a-Service (SaaS) on Microsoft’ Azure public cloud is a superior offering for Purchasing Entity</w:t>
      </w:r>
      <w:r w:rsidRPr="008168FA">
        <w:rPr>
          <w:rFonts w:ascii="Arial" w:eastAsia="PMingLiU" w:hAnsi="Arial" w:cs="Times New Roman"/>
          <w:szCs w:val="20"/>
          <w:lang w:val="en-GB"/>
        </w:rPr>
        <w:t>:</w:t>
      </w:r>
    </w:p>
    <w:p w14:paraId="62235393" w14:textId="77777777" w:rsidR="00D24A4B"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336A98">
        <w:rPr>
          <w:rFonts w:ascii="Arial" w:eastAsia="PMingLiU" w:hAnsi="Arial" w:cs="Times New Roman"/>
          <w:szCs w:val="20"/>
        </w:rPr>
        <w:t>Idle buffer is available on premise</w:t>
      </w:r>
    </w:p>
    <w:p w14:paraId="004A0D0A" w14:textId="77777777" w:rsidR="00D24A4B"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007691">
        <w:rPr>
          <w:rFonts w:ascii="Arial" w:eastAsia="PMingLiU" w:hAnsi="Arial" w:cs="Times New Roman"/>
          <w:szCs w:val="20"/>
        </w:rPr>
        <w:t>HPE support specialist will execute escalation procedures and engage additional technical specialists</w:t>
      </w:r>
    </w:p>
    <w:p w14:paraId="33E2FBEB" w14:textId="77777777" w:rsidR="00D24A4B" w:rsidRDefault="00D24A4B" w:rsidP="00D24A4B">
      <w:pPr>
        <w:pStyle w:val="Bullet1Double0"/>
        <w:shd w:val="clear" w:color="auto" w:fill="DBDCDD"/>
        <w:ind w:left="720" w:hanging="720"/>
      </w:pPr>
      <w:r>
        <w:t>8.14.1</w:t>
      </w:r>
      <w:r>
        <w:tab/>
        <w:t xml:space="preserve">Describe in detail how your firm processes emergency or rush services implementation requests by a Purchasing Entity. </w:t>
      </w:r>
    </w:p>
    <w:p w14:paraId="25E7448F" w14:textId="77777777" w:rsidR="00D24A4B" w:rsidRDefault="00D24A4B" w:rsidP="00D24A4B">
      <w:pPr>
        <w:pStyle w:val="Response"/>
      </w:pPr>
      <w:r>
        <w:t>Response:</w:t>
      </w:r>
    </w:p>
    <w:p w14:paraId="343DF02D" w14:textId="77777777" w:rsidR="00D24A4B" w:rsidRDefault="00D24A4B" w:rsidP="00D24A4B">
      <w:pPr>
        <w:pStyle w:val="BodyText"/>
      </w:pPr>
      <w:r>
        <w:t>Idle buffer is available on premises as part of the HPE GreenLake Flex Capacity packages and is available to Purchasing Entity to implement or use 24x7 to meet emergency expansion or planned growth parameters. Buffer is not part of the monthly charge unless used. HPE will also install additional capacity for planned growth and if needed, deployment of additional capacity may be rushed if mutually agreed between Purchasing Entity and HPE.</w:t>
      </w:r>
    </w:p>
    <w:p w14:paraId="4733BA1A" w14:textId="77777777" w:rsidR="00D24A4B" w:rsidRDefault="00D24A4B" w:rsidP="00D24A4B">
      <w:pPr>
        <w:pStyle w:val="BodyText"/>
      </w:pPr>
      <w:r>
        <w:t>Any services not explicitly defined in this SOW will be solutioned and priced on a per event basis. Examples include, but are not limited to; design, migration, managed services, architecture, etc. These services will be charged at current HPE rates for onsite services.</w:t>
      </w:r>
    </w:p>
    <w:p w14:paraId="2677436D" w14:textId="77777777" w:rsidR="00D24A4B" w:rsidRDefault="00D24A4B" w:rsidP="00D24A4B">
      <w:pPr>
        <w:pStyle w:val="BodyText"/>
      </w:pPr>
      <w:r>
        <w:t>HPE will provide the Purchasing Entity access to a dedicated HPE phone number; 24 hours per day, 7 days per week. When a critical hardware or related software incident occurs (Severity 1 or 2), the Purchasing Entity will be connected to a remote technical HPE support specialist within the HPE Global Mission Critical Support Center.</w:t>
      </w:r>
    </w:p>
    <w:p w14:paraId="4862671E" w14:textId="77777777" w:rsidR="00D24A4B" w:rsidRDefault="00D24A4B" w:rsidP="00D24A4B">
      <w:pPr>
        <w:pStyle w:val="BodyText"/>
      </w:pPr>
      <w:r>
        <w:t xml:space="preserve">The HPE support specialist focuses in business recovery of complex computing environments and will have access to information about the End Purchasing Entity’s IT environment, systems, and specific support requirements. If necessary, the HPE support specialist will execute escalation procedures and engage additional technical specialists. </w:t>
      </w:r>
    </w:p>
    <w:p w14:paraId="021ABE6C" w14:textId="77777777" w:rsidR="00D24A4B" w:rsidRPr="00395B02" w:rsidRDefault="00D24A4B" w:rsidP="00D24A4B">
      <w:pPr>
        <w:pStyle w:val="BodyText"/>
      </w:pPr>
      <w:r>
        <w:t>In the event of a hardware issue that may require an onsite presence, an HPE hardware specialist will be dispatched to equipment location, in accordance with the hardware reactive service level of the affected device. Additionally, the HPE support specialist will perform failure data collection and incident definition.</w:t>
      </w:r>
    </w:p>
    <w:p w14:paraId="5707E483" w14:textId="77777777" w:rsidR="00D24A4B" w:rsidRDefault="00D24A4B" w:rsidP="00D24A4B">
      <w:pPr>
        <w:pStyle w:val="Bullet1Double0"/>
        <w:shd w:val="clear" w:color="auto" w:fill="DBDCDD"/>
      </w:pPr>
      <w:r>
        <w:t>8.14.2</w:t>
      </w:r>
      <w:r>
        <w:tab/>
        <w:t xml:space="preserve">Describe in detail the standard lead-time for provisioning your Solutions. </w:t>
      </w:r>
    </w:p>
    <w:p w14:paraId="64D66708" w14:textId="77777777" w:rsidR="00D24A4B" w:rsidRDefault="00D24A4B" w:rsidP="00D24A4B">
      <w:pPr>
        <w:pStyle w:val="Response"/>
      </w:pPr>
      <w:r>
        <w:t>Response:</w:t>
      </w:r>
    </w:p>
    <w:p w14:paraId="103B8EE7" w14:textId="77777777" w:rsidR="00D24A4B" w:rsidRDefault="00D24A4B" w:rsidP="00D24A4B">
      <w:pPr>
        <w:pStyle w:val="BodyText"/>
      </w:pPr>
      <w:r w:rsidRPr="004E6111">
        <w:t xml:space="preserve">Since this is a complete system </w:t>
      </w:r>
      <w:r>
        <w:t xml:space="preserve">with installed available buffer </w:t>
      </w:r>
      <w:r w:rsidRPr="004E6111">
        <w:t>that will be installed at the Purchasing Entity’s site, after the order is received</w:t>
      </w:r>
      <w:r>
        <w:t>,</w:t>
      </w:r>
      <w:r w:rsidRPr="004E6111">
        <w:t xml:space="preserve"> HPE will schedule a meeting with the Purchasing Entity</w:t>
      </w:r>
      <w:r>
        <w:t xml:space="preserve">. </w:t>
      </w:r>
      <w:r w:rsidRPr="004E6111">
        <w:t>This meeting w</w:t>
      </w:r>
      <w:r>
        <w:t>ill</w:t>
      </w:r>
      <w:r w:rsidRPr="004E6111">
        <w:t xml:space="preserve"> be to confirm the equipment configuration, installation location and requirements, initiate equipment order, develop shipping and installation schedule</w:t>
      </w:r>
      <w:r>
        <w:t xml:space="preserve">. </w:t>
      </w:r>
      <w:r w:rsidRPr="004E6111">
        <w:t>HPE anticipates that this activity would take 45-60 days to complete and turn over the system for the Purchasing Entity’s use</w:t>
      </w:r>
      <w:r>
        <w:t xml:space="preserve">. </w:t>
      </w:r>
    </w:p>
    <w:p w14:paraId="57E5E419" w14:textId="77777777" w:rsidR="00D24A4B" w:rsidRDefault="00D24A4B" w:rsidP="00D24A4B">
      <w:pPr>
        <w:pStyle w:val="FigureCaptionAuto"/>
      </w:pPr>
      <w:r>
        <w:lastRenderedPageBreak/>
        <w:t>HPE Integration and Installation</w:t>
      </w:r>
    </w:p>
    <w:p w14:paraId="296C650E" w14:textId="77777777" w:rsidR="00D24A4B" w:rsidRPr="00395B02" w:rsidRDefault="00D24A4B" w:rsidP="00D24A4B">
      <w:pPr>
        <w:pStyle w:val="BodyText"/>
      </w:pPr>
      <w:r>
        <w:rPr>
          <w:noProof/>
          <w:lang w:val="en-GB" w:eastAsia="en-GB"/>
        </w:rPr>
        <w:drawing>
          <wp:inline distT="0" distB="0" distL="0" distR="0" wp14:anchorId="1FE10E54" wp14:editId="17EF6397">
            <wp:extent cx="5624830" cy="218186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230A00.tmp"/>
                    <pic:cNvPicPr/>
                  </pic:nvPicPr>
                  <pic:blipFill>
                    <a:blip r:embed="rId43">
                      <a:extLst>
                        <a:ext uri="{28A0092B-C50C-407E-A947-70E740481C1C}">
                          <a14:useLocalDpi xmlns:a14="http://schemas.microsoft.com/office/drawing/2010/main" val="0"/>
                        </a:ext>
                      </a:extLst>
                    </a:blip>
                    <a:stretch>
                      <a:fillRect/>
                    </a:stretch>
                  </pic:blipFill>
                  <pic:spPr>
                    <a:xfrm>
                      <a:off x="0" y="0"/>
                      <a:ext cx="5624830" cy="2181860"/>
                    </a:xfrm>
                    <a:prstGeom prst="rect">
                      <a:avLst/>
                    </a:prstGeom>
                  </pic:spPr>
                </pic:pic>
              </a:graphicData>
            </a:graphic>
          </wp:inline>
        </w:drawing>
      </w:r>
    </w:p>
    <w:p w14:paraId="3E6D98FC" w14:textId="77777777" w:rsidR="00D24A4B" w:rsidRDefault="00D24A4B" w:rsidP="00D24A4B">
      <w:pPr>
        <w:pStyle w:val="Heading30"/>
      </w:pPr>
      <w:bookmarkStart w:id="49" w:name="_Toc514418402"/>
      <w:bookmarkStart w:id="50" w:name="_Toc518548602"/>
      <w:r>
        <w:t>8.15</w:t>
      </w:r>
      <w:r>
        <w:tab/>
        <w:t>(E) Back Up and Disaster Plan</w:t>
      </w:r>
      <w:bookmarkEnd w:id="49"/>
      <w:bookmarkEnd w:id="50"/>
    </w:p>
    <w:p w14:paraId="0D92DFA8" w14:textId="77777777" w:rsidR="00D24A4B" w:rsidRPr="008168FA" w:rsidRDefault="00D24A4B" w:rsidP="00D24A4B">
      <w:pPr>
        <w:shd w:val="clear" w:color="auto" w:fill="E2EFD9" w:themeFill="accent6" w:themeFillTint="33"/>
        <w:spacing w:after="160" w:line="259" w:lineRule="auto"/>
        <w:rPr>
          <w:rFonts w:ascii="Arial" w:eastAsia="PMingLiU" w:hAnsi="Arial" w:cs="Times New Roman"/>
          <w:szCs w:val="20"/>
          <w:lang w:val="en-GB"/>
        </w:rPr>
      </w:pPr>
      <w:r w:rsidRPr="00AD4F77">
        <w:rPr>
          <w:rFonts w:ascii="Arial" w:eastAsia="PMingLiU" w:hAnsi="Arial" w:cs="Times New Roman"/>
          <w:szCs w:val="20"/>
          <w:lang w:val="en-GB"/>
        </w:rPr>
        <w:t xml:space="preserve">HPE </w:t>
      </w:r>
      <w:r>
        <w:rPr>
          <w:rFonts w:ascii="Arial" w:eastAsia="PMingLiU" w:hAnsi="Arial" w:cs="Times New Roman"/>
          <w:szCs w:val="20"/>
          <w:lang w:val="en-GB"/>
        </w:rPr>
        <w:t>hybrid cloud</w:t>
      </w:r>
      <w:r w:rsidRPr="00AD4F77">
        <w:rPr>
          <w:rFonts w:ascii="Arial" w:eastAsia="PMingLiU" w:hAnsi="Arial" w:cs="Times New Roman"/>
          <w:szCs w:val="20"/>
          <w:lang w:val="en-GB"/>
        </w:rPr>
        <w:t xml:space="preserve"> solution is a fully integrated system that delivers Azure compatible, software defined Infrastructure-as-a-Service (IaaS), Platform-as-a-Service (PaaS) on HPE hardware and Software-as-a-Service (SaaS) on Microsoft’ Azure public cloud is a superior offering for Purchasing Entity</w:t>
      </w:r>
      <w:r w:rsidRPr="008168FA">
        <w:rPr>
          <w:rFonts w:ascii="Arial" w:eastAsia="PMingLiU" w:hAnsi="Arial" w:cs="Times New Roman"/>
          <w:szCs w:val="20"/>
          <w:lang w:val="en-GB"/>
        </w:rPr>
        <w:t>:</w:t>
      </w:r>
    </w:p>
    <w:p w14:paraId="569AD6EB" w14:textId="77777777" w:rsidR="00D24A4B" w:rsidRPr="003D5842"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3D5842">
        <w:rPr>
          <w:rFonts w:ascii="Arial" w:eastAsia="PMingLiU" w:hAnsi="Arial" w:cs="Times New Roman"/>
          <w:szCs w:val="20"/>
        </w:rPr>
        <w:t>Optional Pointnext remote managed services can be purchased to assist with performing backups and restores</w:t>
      </w:r>
    </w:p>
    <w:p w14:paraId="0D33D9A1" w14:textId="77777777" w:rsidR="00D24A4B" w:rsidRDefault="00D24A4B" w:rsidP="00D24A4B">
      <w:pPr>
        <w:pStyle w:val="Bullet1Double0"/>
        <w:shd w:val="clear" w:color="auto" w:fill="DBDCDD"/>
        <w:ind w:left="720" w:hanging="720"/>
      </w:pPr>
      <w:r>
        <w:t xml:space="preserve">8.15.1 </w:t>
      </w:r>
      <w:r>
        <w:tab/>
        <w:t>Ability to apply legal retention periods and disposition by agency per purchasing entity policy and/or legal requirements.</w:t>
      </w:r>
    </w:p>
    <w:p w14:paraId="1930AA51" w14:textId="77777777" w:rsidR="00D24A4B" w:rsidRDefault="00D24A4B" w:rsidP="00D24A4B">
      <w:pPr>
        <w:pStyle w:val="Response"/>
      </w:pPr>
      <w:r>
        <w:t>Response:</w:t>
      </w:r>
    </w:p>
    <w:p w14:paraId="7B029B12" w14:textId="77777777" w:rsidR="00D24A4B" w:rsidRPr="00CA13C4" w:rsidRDefault="00D24A4B" w:rsidP="00D24A4B">
      <w:pPr>
        <w:pStyle w:val="BodyText"/>
      </w:pPr>
      <w:r w:rsidRPr="008621BA">
        <w:t xml:space="preserve">The HPE </w:t>
      </w:r>
      <w:r>
        <w:t>GreenLake Flex Capacity Packages are</w:t>
      </w:r>
      <w:r w:rsidRPr="008621BA">
        <w:t xml:space="preserve"> installed at the Purchasing Entity’s site and becomes the Purchasing Entity’s responsibility for deployment/usage and development of any back up and disaster recovery plan of the system</w:t>
      </w:r>
      <w:r>
        <w:t xml:space="preserve">. </w:t>
      </w:r>
      <w:r w:rsidRPr="00CA13C4">
        <w:t xml:space="preserve">HPE GreenLake </w:t>
      </w:r>
      <w:r>
        <w:t>Backup</w:t>
      </w:r>
      <w:r w:rsidRPr="00CA13C4">
        <w:t xml:space="preserve"> Package</w:t>
      </w:r>
      <w:r>
        <w:t xml:space="preserve"> can be combined with </w:t>
      </w:r>
      <w:r w:rsidRPr="00CA13C4">
        <w:t>the services you need to provide a complete, end-to-end experience</w:t>
      </w:r>
      <w:r>
        <w:t xml:space="preserve"> Includes:</w:t>
      </w:r>
    </w:p>
    <w:p w14:paraId="2E0403D7" w14:textId="77777777" w:rsidR="00D24A4B" w:rsidRPr="00CA13C4" w:rsidRDefault="00D24A4B" w:rsidP="00D24A4B">
      <w:pPr>
        <w:pStyle w:val="Bullet1Double"/>
        <w:numPr>
          <w:ilvl w:val="0"/>
          <w:numId w:val="9"/>
        </w:numPr>
        <w:tabs>
          <w:tab w:val="clear" w:pos="0"/>
        </w:tabs>
        <w:ind w:left="360" w:hanging="360"/>
      </w:pPr>
      <w:r w:rsidRPr="00CA13C4">
        <w:t>Assessment, design, and implementation</w:t>
      </w:r>
    </w:p>
    <w:p w14:paraId="6B142426" w14:textId="77777777" w:rsidR="00D24A4B" w:rsidRPr="00CA13C4" w:rsidRDefault="00D24A4B" w:rsidP="00D24A4B">
      <w:pPr>
        <w:pStyle w:val="Bullet1Double"/>
        <w:numPr>
          <w:ilvl w:val="0"/>
          <w:numId w:val="9"/>
        </w:numPr>
        <w:tabs>
          <w:tab w:val="clear" w:pos="0"/>
        </w:tabs>
        <w:ind w:left="360" w:hanging="360"/>
      </w:pPr>
      <w:r w:rsidRPr="00CA13C4">
        <w:t>24x7 monitoring and support of hardware, OS, and database</w:t>
      </w:r>
    </w:p>
    <w:p w14:paraId="7EBBA5DC" w14:textId="77777777" w:rsidR="00D24A4B" w:rsidRPr="00CA13C4" w:rsidRDefault="00D24A4B" w:rsidP="00D24A4B">
      <w:pPr>
        <w:pStyle w:val="Bullet1Double"/>
        <w:numPr>
          <w:ilvl w:val="0"/>
          <w:numId w:val="9"/>
        </w:numPr>
        <w:tabs>
          <w:tab w:val="clear" w:pos="0"/>
        </w:tabs>
        <w:ind w:left="360" w:hanging="360"/>
      </w:pPr>
      <w:r w:rsidRPr="00CA13C4">
        <w:t>Proactive and reactive services</w:t>
      </w:r>
    </w:p>
    <w:p w14:paraId="7FD6E407" w14:textId="77777777" w:rsidR="00D24A4B" w:rsidRPr="00CA13C4" w:rsidRDefault="00D24A4B" w:rsidP="00D24A4B">
      <w:pPr>
        <w:pStyle w:val="Bullet1Double"/>
        <w:numPr>
          <w:ilvl w:val="0"/>
          <w:numId w:val="9"/>
        </w:numPr>
        <w:tabs>
          <w:tab w:val="clear" w:pos="0"/>
        </w:tabs>
        <w:ind w:left="360" w:hanging="360"/>
      </w:pPr>
      <w:r w:rsidRPr="00CA13C4">
        <w:t>Capacity planning and growth strategy</w:t>
      </w:r>
    </w:p>
    <w:p w14:paraId="71F6CB2A" w14:textId="77777777" w:rsidR="00D24A4B" w:rsidRPr="00CA13C4" w:rsidRDefault="00D24A4B" w:rsidP="00D24A4B">
      <w:pPr>
        <w:pStyle w:val="Bullet1Double"/>
        <w:numPr>
          <w:ilvl w:val="0"/>
          <w:numId w:val="9"/>
        </w:numPr>
        <w:tabs>
          <w:tab w:val="clear" w:pos="0"/>
        </w:tabs>
        <w:ind w:left="360" w:hanging="360"/>
      </w:pPr>
      <w:r w:rsidRPr="00CA13C4">
        <w:t>Metering and billing</w:t>
      </w:r>
    </w:p>
    <w:p w14:paraId="23DCF662" w14:textId="77777777" w:rsidR="00D24A4B" w:rsidRPr="00CA13C4" w:rsidRDefault="00D24A4B" w:rsidP="00D24A4B">
      <w:pPr>
        <w:pStyle w:val="Bullet1Double"/>
        <w:numPr>
          <w:ilvl w:val="0"/>
          <w:numId w:val="9"/>
        </w:numPr>
        <w:tabs>
          <w:tab w:val="clear" w:pos="0"/>
        </w:tabs>
        <w:ind w:left="360" w:hanging="360"/>
      </w:pPr>
      <w:r w:rsidRPr="00CA13C4">
        <w:t>Full system health checks and governance reviews</w:t>
      </w:r>
    </w:p>
    <w:p w14:paraId="6EE4C545" w14:textId="77777777" w:rsidR="00D24A4B" w:rsidRPr="00CA13C4" w:rsidRDefault="00D24A4B" w:rsidP="00D24A4B">
      <w:pPr>
        <w:pStyle w:val="Subheading2"/>
      </w:pPr>
      <w:r w:rsidRPr="00CA13C4">
        <w:t>Optional</w:t>
      </w:r>
    </w:p>
    <w:p w14:paraId="5970E6B2" w14:textId="77777777" w:rsidR="00D24A4B" w:rsidRPr="00CA13C4" w:rsidRDefault="00D24A4B" w:rsidP="00D24A4B">
      <w:pPr>
        <w:pStyle w:val="Bullet1Double"/>
        <w:numPr>
          <w:ilvl w:val="0"/>
          <w:numId w:val="9"/>
        </w:numPr>
        <w:tabs>
          <w:tab w:val="clear" w:pos="0"/>
        </w:tabs>
        <w:ind w:left="360" w:hanging="360"/>
      </w:pPr>
      <w:r w:rsidRPr="00CA13C4">
        <w:t>Data migration</w:t>
      </w:r>
    </w:p>
    <w:p w14:paraId="5B4F139A" w14:textId="77777777" w:rsidR="00D24A4B" w:rsidRDefault="00D24A4B" w:rsidP="00D24A4B">
      <w:pPr>
        <w:pStyle w:val="Bullet1Double"/>
        <w:numPr>
          <w:ilvl w:val="0"/>
          <w:numId w:val="9"/>
        </w:numPr>
        <w:tabs>
          <w:tab w:val="clear" w:pos="0"/>
        </w:tabs>
        <w:ind w:left="360" w:hanging="360"/>
      </w:pPr>
      <w:r w:rsidRPr="00CA13C4">
        <w:t>Management of Change</w:t>
      </w:r>
    </w:p>
    <w:p w14:paraId="03AFEC17" w14:textId="77777777" w:rsidR="00D24A4B" w:rsidRDefault="00D24A4B" w:rsidP="00D24A4B">
      <w:pPr>
        <w:pStyle w:val="FigureCaptionAuto"/>
      </w:pPr>
      <w:r>
        <w:lastRenderedPageBreak/>
        <w:t>Industry-leading Hardware and Software</w:t>
      </w:r>
    </w:p>
    <w:p w14:paraId="0F00EC79" w14:textId="77777777" w:rsidR="00D24A4B" w:rsidRDefault="00D24A4B" w:rsidP="00D24A4B">
      <w:pPr>
        <w:pStyle w:val="BodyText"/>
      </w:pPr>
      <w:r>
        <w:rPr>
          <w:noProof/>
          <w:lang w:val="en-GB" w:eastAsia="en-GB"/>
        </w:rPr>
        <w:drawing>
          <wp:inline distT="0" distB="0" distL="0" distR="0" wp14:anchorId="55CC5EBD" wp14:editId="1C5B4C0F">
            <wp:extent cx="5624830" cy="2378710"/>
            <wp:effectExtent l="0" t="0" r="0" b="254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23091C3.tmp"/>
                    <pic:cNvPicPr/>
                  </pic:nvPicPr>
                  <pic:blipFill>
                    <a:blip r:embed="rId44">
                      <a:extLst>
                        <a:ext uri="{28A0092B-C50C-407E-A947-70E740481C1C}">
                          <a14:useLocalDpi xmlns:a14="http://schemas.microsoft.com/office/drawing/2010/main" val="0"/>
                        </a:ext>
                      </a:extLst>
                    </a:blip>
                    <a:stretch>
                      <a:fillRect/>
                    </a:stretch>
                  </pic:blipFill>
                  <pic:spPr>
                    <a:xfrm>
                      <a:off x="0" y="0"/>
                      <a:ext cx="5624830" cy="2378710"/>
                    </a:xfrm>
                    <a:prstGeom prst="rect">
                      <a:avLst/>
                    </a:prstGeom>
                  </pic:spPr>
                </pic:pic>
              </a:graphicData>
            </a:graphic>
          </wp:inline>
        </w:drawing>
      </w:r>
    </w:p>
    <w:p w14:paraId="317CA7B0" w14:textId="77777777" w:rsidR="00D24A4B" w:rsidRPr="00395B02" w:rsidRDefault="00D24A4B" w:rsidP="00D24A4B">
      <w:pPr>
        <w:pStyle w:val="BodyText"/>
      </w:pPr>
    </w:p>
    <w:p w14:paraId="1639DA97" w14:textId="77777777" w:rsidR="00D24A4B" w:rsidRDefault="00D24A4B" w:rsidP="00D24A4B">
      <w:pPr>
        <w:pStyle w:val="Bullet1Double0"/>
        <w:shd w:val="clear" w:color="auto" w:fill="DBDCDD"/>
        <w:ind w:left="720" w:hanging="720"/>
      </w:pPr>
      <w:r>
        <w:t>8.15.2</w:t>
      </w:r>
      <w:r>
        <w:tab/>
        <w:t>Describe any known inherent disaster recovery risks and provide potential mitigation strategies.</w:t>
      </w:r>
    </w:p>
    <w:p w14:paraId="4483898E" w14:textId="77777777" w:rsidR="00D24A4B" w:rsidRDefault="00D24A4B" w:rsidP="00D24A4B">
      <w:pPr>
        <w:pStyle w:val="Response"/>
      </w:pPr>
      <w:r>
        <w:t>Response:</w:t>
      </w:r>
    </w:p>
    <w:p w14:paraId="0540D6FE" w14:textId="77777777" w:rsidR="00D24A4B" w:rsidRPr="00395B02" w:rsidRDefault="00D24A4B" w:rsidP="00D24A4B">
      <w:pPr>
        <w:pStyle w:val="BodyText"/>
      </w:pPr>
      <w:r w:rsidRPr="008621BA">
        <w:t xml:space="preserve">The HPE </w:t>
      </w:r>
      <w:r>
        <w:t>GreenLake Flex Capacity Packages are</w:t>
      </w:r>
      <w:r w:rsidRPr="008621BA">
        <w:t xml:space="preserve"> installed at the Purchasing Entity’s site and becomes the Purchasing Entity’s responsibility for deployment/usage and development of any back up and disaster recovery plan of the system</w:t>
      </w:r>
      <w:r>
        <w:t xml:space="preserve">. Optional Pointnext remote managed services can be purchased to assist with performing backups and restores. </w:t>
      </w:r>
    </w:p>
    <w:p w14:paraId="23848FEA" w14:textId="77777777" w:rsidR="00D24A4B" w:rsidRDefault="00D24A4B" w:rsidP="00D24A4B">
      <w:pPr>
        <w:pStyle w:val="Bullet1Double0"/>
        <w:shd w:val="clear" w:color="auto" w:fill="DBDCDD"/>
        <w:ind w:left="720" w:hanging="720"/>
      </w:pPr>
      <w:r>
        <w:t>8.15.3</w:t>
      </w:r>
      <w:r>
        <w:tab/>
        <w:t>Describe the infrastructure that supports multiple data centers within the United States, each of which supports redundancy, failover capability, and the ability to run large scale applications independently in case one data center is lost.</w:t>
      </w:r>
    </w:p>
    <w:p w14:paraId="2F91BBFB" w14:textId="77777777" w:rsidR="00D24A4B" w:rsidRDefault="00D24A4B" w:rsidP="00D24A4B">
      <w:pPr>
        <w:pStyle w:val="Response"/>
      </w:pPr>
      <w:r>
        <w:t>Response:</w:t>
      </w:r>
    </w:p>
    <w:p w14:paraId="04E559F7" w14:textId="77777777" w:rsidR="00D24A4B" w:rsidRDefault="00D24A4B" w:rsidP="00D24A4B">
      <w:pPr>
        <w:pStyle w:val="BodyText"/>
      </w:pPr>
      <w:r w:rsidRPr="008621BA">
        <w:t xml:space="preserve">The HPE </w:t>
      </w:r>
      <w:r>
        <w:t>GreenLake Flex Capacity Packages are</w:t>
      </w:r>
      <w:r w:rsidRPr="008621BA">
        <w:t xml:space="preserve"> installed at the Purchasing Entity’s site and becomes the Purchasing Entity’s responsibility for deployment/usage and development of any back up and disaste</w:t>
      </w:r>
      <w:r>
        <w:t xml:space="preserve">r recovery plan of the system. Clustering and failover capabilities can be incorporated into GreenLake solutions to handle data center loss. </w:t>
      </w:r>
      <w:r w:rsidRPr="00336A98">
        <w:t>Azure has more global regions than any other cloud provider—offering the scale needed to bring applications closer to users around the world, preserving data residency, and offering comprehensive compliance and r</w:t>
      </w:r>
      <w:r>
        <w:t>esiliency options for customers 52 regions worldwide, available in 140 countries.</w:t>
      </w:r>
    </w:p>
    <w:p w14:paraId="6DB8FAAC" w14:textId="77777777" w:rsidR="00D24A4B" w:rsidRDefault="00D24A4B" w:rsidP="00D24A4B">
      <w:pPr>
        <w:pStyle w:val="BodyText"/>
        <w:jc w:val="center"/>
      </w:pPr>
      <w:r>
        <w:rPr>
          <w:noProof/>
          <w:lang w:val="en-GB" w:eastAsia="en-GB"/>
        </w:rPr>
        <w:lastRenderedPageBreak/>
        <w:drawing>
          <wp:inline distT="0" distB="0" distL="0" distR="0" wp14:anchorId="7581954A" wp14:editId="074940C8">
            <wp:extent cx="4694109" cy="21717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6F4E705.tmp"/>
                    <pic:cNvPicPr/>
                  </pic:nvPicPr>
                  <pic:blipFill>
                    <a:blip r:embed="rId45">
                      <a:extLst>
                        <a:ext uri="{28A0092B-C50C-407E-A947-70E740481C1C}">
                          <a14:useLocalDpi xmlns:a14="http://schemas.microsoft.com/office/drawing/2010/main" val="0"/>
                        </a:ext>
                      </a:extLst>
                    </a:blip>
                    <a:stretch>
                      <a:fillRect/>
                    </a:stretch>
                  </pic:blipFill>
                  <pic:spPr>
                    <a:xfrm>
                      <a:off x="0" y="0"/>
                      <a:ext cx="4703875" cy="2176218"/>
                    </a:xfrm>
                    <a:prstGeom prst="rect">
                      <a:avLst/>
                    </a:prstGeom>
                  </pic:spPr>
                </pic:pic>
              </a:graphicData>
            </a:graphic>
          </wp:inline>
        </w:drawing>
      </w:r>
    </w:p>
    <w:p w14:paraId="6C757D30" w14:textId="77777777" w:rsidR="00D24A4B" w:rsidRPr="008621BA" w:rsidRDefault="00D24A4B" w:rsidP="00D24A4B">
      <w:pPr>
        <w:pStyle w:val="Heading30"/>
        <w:rPr>
          <w:b w:val="0"/>
        </w:rPr>
      </w:pPr>
      <w:bookmarkStart w:id="51" w:name="_Toc514418403"/>
      <w:bookmarkStart w:id="52" w:name="_Toc518548603"/>
      <w:r w:rsidRPr="00D31C72">
        <w:t>8.1</w:t>
      </w:r>
      <w:r>
        <w:t>6</w:t>
      </w:r>
      <w:r w:rsidRPr="00D31C72">
        <w:tab/>
      </w:r>
      <w:r>
        <w:t xml:space="preserve">(E) </w:t>
      </w:r>
      <w:r w:rsidRPr="00D31C72">
        <w:t>Hosting and</w:t>
      </w:r>
      <w:r>
        <w:t xml:space="preserve"> Provisioning</w:t>
      </w:r>
      <w:bookmarkEnd w:id="51"/>
      <w:bookmarkEnd w:id="52"/>
      <w:r>
        <w:t xml:space="preserve"> </w:t>
      </w:r>
    </w:p>
    <w:p w14:paraId="72507912" w14:textId="77777777" w:rsidR="00D24A4B" w:rsidRPr="008168FA" w:rsidRDefault="00D24A4B" w:rsidP="00D24A4B">
      <w:pPr>
        <w:shd w:val="clear" w:color="auto" w:fill="E2EFD9" w:themeFill="accent6" w:themeFillTint="33"/>
        <w:spacing w:after="160" w:line="259" w:lineRule="auto"/>
        <w:rPr>
          <w:rFonts w:ascii="Arial" w:eastAsia="PMingLiU" w:hAnsi="Arial" w:cs="Times New Roman"/>
          <w:szCs w:val="20"/>
          <w:lang w:val="en-GB"/>
        </w:rPr>
      </w:pPr>
      <w:r w:rsidRPr="00C8354F">
        <w:rPr>
          <w:rFonts w:ascii="Arial" w:eastAsia="PMingLiU" w:hAnsi="Arial" w:cs="Times New Roman"/>
          <w:szCs w:val="20"/>
          <w:lang w:val="en-GB"/>
        </w:rPr>
        <w:t xml:space="preserve">HPE </w:t>
      </w:r>
      <w:r>
        <w:rPr>
          <w:rFonts w:ascii="Arial" w:eastAsia="PMingLiU" w:hAnsi="Arial" w:cs="Times New Roman"/>
          <w:szCs w:val="20"/>
          <w:lang w:val="en-GB"/>
        </w:rPr>
        <w:t>hybrid cloud</w:t>
      </w:r>
      <w:r w:rsidRPr="00C8354F">
        <w:rPr>
          <w:rFonts w:ascii="Arial" w:eastAsia="PMingLiU" w:hAnsi="Arial" w:cs="Times New Roman"/>
          <w:szCs w:val="20"/>
          <w:lang w:val="en-GB"/>
        </w:rPr>
        <w:t xml:space="preserve"> solution is a fully integrated system that delivers Azure compatible, software defined Infrastructure-as-a-Service (IaaS), Platform-as-a-Service (PaaS) on HPE hardware and Software-as-a-Service (SaaS) on Microsoft’ Azure public cloud is a superior offering for Purchasing Entity</w:t>
      </w:r>
      <w:r>
        <w:rPr>
          <w:rFonts w:ascii="Arial" w:eastAsia="PMingLiU" w:hAnsi="Arial" w:cs="Times New Roman"/>
          <w:szCs w:val="20"/>
          <w:lang w:val="en-GB"/>
        </w:rPr>
        <w:t>:</w:t>
      </w:r>
    </w:p>
    <w:p w14:paraId="14419144" w14:textId="77777777" w:rsidR="00D24A4B"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Pr>
          <w:rFonts w:ascii="Arial" w:eastAsia="PMingLiU" w:hAnsi="Arial" w:cs="Times New Roman"/>
          <w:szCs w:val="20"/>
        </w:rPr>
        <w:t>GreenLake h</w:t>
      </w:r>
      <w:r w:rsidRPr="003D5842">
        <w:rPr>
          <w:rFonts w:ascii="Arial" w:eastAsia="PMingLiU" w:hAnsi="Arial" w:cs="Times New Roman"/>
          <w:szCs w:val="20"/>
        </w:rPr>
        <w:t>a</w:t>
      </w:r>
      <w:r>
        <w:rPr>
          <w:rFonts w:ascii="Arial" w:eastAsia="PMingLiU" w:hAnsi="Arial" w:cs="Times New Roman"/>
          <w:szCs w:val="20"/>
        </w:rPr>
        <w:t>s</w:t>
      </w:r>
      <w:r w:rsidRPr="003D5842">
        <w:rPr>
          <w:rFonts w:ascii="Arial" w:eastAsia="PMingLiU" w:hAnsi="Arial" w:cs="Times New Roman"/>
          <w:szCs w:val="20"/>
        </w:rPr>
        <w:t xml:space="preserve"> buffer capacity always in place</w:t>
      </w:r>
    </w:p>
    <w:p w14:paraId="326E9C92" w14:textId="77777777" w:rsidR="00D24A4B"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3D5842">
        <w:rPr>
          <w:rFonts w:ascii="Arial" w:eastAsia="PMingLiU" w:hAnsi="Arial" w:cs="Times New Roman"/>
          <w:szCs w:val="20"/>
        </w:rPr>
        <w:t>HPE monitors amount of capacity being used and will deploy additional infrastructure as needed</w:t>
      </w:r>
    </w:p>
    <w:p w14:paraId="58794FB9" w14:textId="77777777" w:rsidR="00D24A4B" w:rsidRDefault="00D24A4B" w:rsidP="00D24A4B">
      <w:pPr>
        <w:pStyle w:val="Bullet1Double0"/>
        <w:shd w:val="clear" w:color="auto" w:fill="DBDCDD"/>
        <w:ind w:left="720" w:hanging="720"/>
      </w:pPr>
      <w:r>
        <w:t>8.16.1 Documented cloud hosting provisioning processes, and your defined/standard cloud provisioning stack.</w:t>
      </w:r>
    </w:p>
    <w:p w14:paraId="40F45F5F" w14:textId="77777777" w:rsidR="00D24A4B" w:rsidRDefault="00D24A4B" w:rsidP="00D24A4B">
      <w:pPr>
        <w:pStyle w:val="Response"/>
      </w:pPr>
      <w:r>
        <w:t>Response:</w:t>
      </w:r>
    </w:p>
    <w:p w14:paraId="79FBA051" w14:textId="77777777" w:rsidR="00D24A4B" w:rsidRDefault="00D24A4B" w:rsidP="00D24A4B">
      <w:pPr>
        <w:pStyle w:val="BodyText"/>
      </w:pPr>
      <w:r w:rsidRPr="008621BA">
        <w:t xml:space="preserve">The HPE </w:t>
      </w:r>
      <w:r>
        <w:t>GreenLake Flex Capacity Packages are</w:t>
      </w:r>
      <w:r w:rsidRPr="008621BA">
        <w:t xml:space="preserve"> installed at the Purchasing Entity’s site and becomes the Purchasing Entity’s responsibility for provisioning processes</w:t>
      </w:r>
      <w:r>
        <w:t xml:space="preserve">. As an option, </w:t>
      </w:r>
      <w:r w:rsidRPr="008621BA">
        <w:t xml:space="preserve">HPE </w:t>
      </w:r>
      <w:r>
        <w:t>can</w:t>
      </w:r>
      <w:r w:rsidRPr="008621BA">
        <w:t xml:space="preserve"> provide consulting to the Purchasing Entity at additional cost to develop a provisioning process if needed</w:t>
      </w:r>
      <w:r>
        <w:t xml:space="preserve">. </w:t>
      </w:r>
    </w:p>
    <w:p w14:paraId="45423757" w14:textId="77777777" w:rsidR="00D24A4B" w:rsidRDefault="00D24A4B" w:rsidP="00D24A4B">
      <w:pPr>
        <w:pStyle w:val="Subheading"/>
      </w:pPr>
      <w:r>
        <w:t>System Provisioning</w:t>
      </w:r>
    </w:p>
    <w:p w14:paraId="1851DE72" w14:textId="47924E1D" w:rsidR="00D24A4B" w:rsidRDefault="00D24A4B" w:rsidP="00D24A4B">
      <w:pPr>
        <w:pStyle w:val="BodyText"/>
      </w:pPr>
      <w:r>
        <w:t xml:space="preserve">As part of the Services, HPE will provide the Systems to NASPO ValuePoint at the locations listed in </w:t>
      </w:r>
      <w:r w:rsidR="00C47141">
        <w:t xml:space="preserve">the final negotiated SOW </w:t>
      </w:r>
      <w:r>
        <w:t xml:space="preserve">by Location and NASPO ValuePoint will have the right to use the Systems for the term </w:t>
      </w:r>
      <w:r w:rsidR="00C47141">
        <w:t xml:space="preserve">indicated in the SOW </w:t>
      </w:r>
      <w:r>
        <w:t>for internal business purposes only, provided that NASPO ValuePoint complies with the terms of th</w:t>
      </w:r>
      <w:r w:rsidR="00C47141">
        <w:t>e agreed upon</w:t>
      </w:r>
      <w:r>
        <w:t xml:space="preserve"> SOW. Software provided by HPE as part of the Systems shall be subject to the terms of the software license agreement  made available to Customer in hard copy or by accessing a designated HPE website. For non-HPE branded software, the third-party license terms will govern its use and Customer may be directed to the third party’s URL to click and accept the third party’s license terms and download the software for use pursuant to this SOW. Any licensing terms granted shall terminate upon termination or expiration of this SOW.</w:t>
      </w:r>
    </w:p>
    <w:p w14:paraId="17CF8D17" w14:textId="77777777" w:rsidR="00D24A4B" w:rsidRDefault="00D24A4B" w:rsidP="00D24A4B">
      <w:pPr>
        <w:pStyle w:val="Subheading"/>
      </w:pPr>
      <w:r>
        <w:t>Installation Services</w:t>
      </w:r>
    </w:p>
    <w:p w14:paraId="10645E63" w14:textId="24C52579" w:rsidR="00D24A4B" w:rsidRPr="00395B02" w:rsidRDefault="00D24A4B" w:rsidP="00D24A4B">
      <w:pPr>
        <w:pStyle w:val="BodyText"/>
      </w:pPr>
      <w:r>
        <w:t xml:space="preserve">Installation services for implementation of Flexible Capacity will be delivered according to the hardware and software installed. </w:t>
      </w:r>
    </w:p>
    <w:p w14:paraId="7585A3D3" w14:textId="77777777" w:rsidR="00D24A4B" w:rsidRDefault="00D24A4B" w:rsidP="00C47141">
      <w:pPr>
        <w:pStyle w:val="Bullet1Double0"/>
        <w:keepNext/>
        <w:shd w:val="clear" w:color="auto" w:fill="DBDCDD"/>
      </w:pPr>
      <w:r>
        <w:lastRenderedPageBreak/>
        <w:t>8.16.2</w:t>
      </w:r>
      <w:r>
        <w:tab/>
        <w:t>Provide tool sets at minimum for:</w:t>
      </w:r>
    </w:p>
    <w:p w14:paraId="22EAC7C5" w14:textId="77777777" w:rsidR="00D24A4B" w:rsidRDefault="00D24A4B" w:rsidP="00C47141">
      <w:pPr>
        <w:pStyle w:val="Bullet2Double0"/>
        <w:keepNext/>
        <w:shd w:val="clear" w:color="auto" w:fill="DBDCDD"/>
      </w:pPr>
      <w:r>
        <w:t>1.</w:t>
      </w:r>
      <w:r>
        <w:tab/>
        <w:t>Deploying new servers (determining configuration for both stand alone or part of an existing server farm, etc.)</w:t>
      </w:r>
    </w:p>
    <w:p w14:paraId="23FE9C9F" w14:textId="77777777" w:rsidR="00D24A4B" w:rsidRDefault="00D24A4B" w:rsidP="00D24A4B">
      <w:pPr>
        <w:pStyle w:val="Bullet2Double0"/>
        <w:shd w:val="clear" w:color="auto" w:fill="DBDCDD"/>
      </w:pPr>
      <w:r>
        <w:t>2.</w:t>
      </w:r>
      <w:r>
        <w:tab/>
        <w:t>Creating and storing server images for future multiple deployments</w:t>
      </w:r>
    </w:p>
    <w:p w14:paraId="79CB413F" w14:textId="77777777" w:rsidR="00D24A4B" w:rsidRDefault="00D24A4B" w:rsidP="00D24A4B">
      <w:pPr>
        <w:pStyle w:val="Bullet2Double0"/>
        <w:shd w:val="clear" w:color="auto" w:fill="DBDCDD"/>
      </w:pPr>
      <w:r>
        <w:t>3.</w:t>
      </w:r>
      <w:r>
        <w:tab/>
        <w:t>Securing additional storage space</w:t>
      </w:r>
    </w:p>
    <w:p w14:paraId="059304A7" w14:textId="77777777" w:rsidR="00D24A4B" w:rsidRDefault="00D24A4B" w:rsidP="00D24A4B">
      <w:pPr>
        <w:pStyle w:val="Bullet2Double0"/>
        <w:shd w:val="clear" w:color="auto" w:fill="DBDCDD"/>
      </w:pPr>
      <w:r>
        <w:t>4.</w:t>
      </w:r>
      <w:r>
        <w:tab/>
        <w:t>Monitoring tools for use by each jurisdiction’s authorized personnel – and this should ideally cover components of a public (respondent hosted) or hybrid cloud (including Participating entity resources).</w:t>
      </w:r>
    </w:p>
    <w:p w14:paraId="74262A65" w14:textId="77777777" w:rsidR="00D24A4B" w:rsidRDefault="00D24A4B" w:rsidP="00D24A4B">
      <w:pPr>
        <w:pStyle w:val="Response"/>
      </w:pPr>
      <w:r>
        <w:t>Response:</w:t>
      </w:r>
    </w:p>
    <w:p w14:paraId="77355994" w14:textId="77777777" w:rsidR="00D24A4B" w:rsidRPr="00C34D29" w:rsidRDefault="00D24A4B" w:rsidP="00D24A4B">
      <w:pPr>
        <w:pStyle w:val="BodyText"/>
      </w:pPr>
      <w:r>
        <w:t>HPE provides the minimum tool sets for:</w:t>
      </w:r>
    </w:p>
    <w:p w14:paraId="54BA6A64" w14:textId="77777777" w:rsidR="00D24A4B" w:rsidRDefault="00D24A4B" w:rsidP="00D24A4B">
      <w:pPr>
        <w:pStyle w:val="NumbersAutoDouble"/>
      </w:pPr>
      <w:r>
        <w:t xml:space="preserve">The proposed solution has the ability to scale up and down based upon current usage. </w:t>
      </w:r>
    </w:p>
    <w:p w14:paraId="0E906043" w14:textId="77777777" w:rsidR="00D24A4B" w:rsidRDefault="00D24A4B" w:rsidP="00D24A4B">
      <w:pPr>
        <w:pStyle w:val="NumbersAutoDouble"/>
      </w:pPr>
      <w:r>
        <w:t xml:space="preserve">Through GreenLake, a buffer capacity is always in place. </w:t>
      </w:r>
    </w:p>
    <w:p w14:paraId="53C9AD53" w14:textId="77777777" w:rsidR="00D24A4B" w:rsidRDefault="00D24A4B" w:rsidP="00D24A4B">
      <w:pPr>
        <w:pStyle w:val="NumbersAutoDouble"/>
      </w:pPr>
      <w:r>
        <w:t xml:space="preserve">HPE also has the ability to add more infrastructure as capacity increases. </w:t>
      </w:r>
    </w:p>
    <w:p w14:paraId="7B0B31D3" w14:textId="77777777" w:rsidR="00D24A4B" w:rsidRPr="00395B02" w:rsidRDefault="00D24A4B" w:rsidP="00D24A4B">
      <w:pPr>
        <w:pStyle w:val="NumbersAutoDouble"/>
      </w:pPr>
      <w:r>
        <w:t xml:space="preserve">HPE monitors amount of capacity being used and will deploy additional infrastructure as needed with change order from Purchasing Entity. </w:t>
      </w:r>
    </w:p>
    <w:p w14:paraId="77836256" w14:textId="77777777" w:rsidR="00D24A4B" w:rsidRDefault="00D24A4B" w:rsidP="00D24A4B">
      <w:pPr>
        <w:pStyle w:val="Heading30"/>
      </w:pPr>
      <w:bookmarkStart w:id="53" w:name="_Toc514418404"/>
      <w:bookmarkStart w:id="54" w:name="_Toc518548604"/>
      <w:r>
        <w:t>8.17</w:t>
      </w:r>
      <w:r>
        <w:tab/>
        <w:t>(E) Trial And Testing Periods (Pre- and Post- Purchase)</w:t>
      </w:r>
      <w:bookmarkEnd w:id="53"/>
      <w:bookmarkEnd w:id="54"/>
    </w:p>
    <w:p w14:paraId="066072A9" w14:textId="77777777" w:rsidR="00D24A4B" w:rsidRPr="008168FA" w:rsidRDefault="00D24A4B" w:rsidP="00D24A4B">
      <w:pPr>
        <w:shd w:val="clear" w:color="auto" w:fill="E2EFD9" w:themeFill="accent6" w:themeFillTint="33"/>
        <w:spacing w:after="160" w:line="259" w:lineRule="auto"/>
        <w:rPr>
          <w:rFonts w:ascii="Arial" w:eastAsia="PMingLiU" w:hAnsi="Arial" w:cs="Times New Roman"/>
          <w:szCs w:val="20"/>
          <w:lang w:val="en-GB"/>
        </w:rPr>
      </w:pPr>
      <w:r w:rsidRPr="00C8354F">
        <w:rPr>
          <w:rFonts w:ascii="Arial" w:eastAsia="PMingLiU" w:hAnsi="Arial" w:cs="Times New Roman"/>
          <w:szCs w:val="20"/>
          <w:lang w:val="en-GB"/>
        </w:rPr>
        <w:t xml:space="preserve">HPE </w:t>
      </w:r>
      <w:r>
        <w:rPr>
          <w:rFonts w:ascii="Arial" w:eastAsia="PMingLiU" w:hAnsi="Arial" w:cs="Times New Roman"/>
          <w:szCs w:val="20"/>
          <w:lang w:val="en-GB"/>
        </w:rPr>
        <w:t>hybrid cloud</w:t>
      </w:r>
      <w:r w:rsidRPr="00C8354F">
        <w:rPr>
          <w:rFonts w:ascii="Arial" w:eastAsia="PMingLiU" w:hAnsi="Arial" w:cs="Times New Roman"/>
          <w:szCs w:val="20"/>
          <w:lang w:val="en-GB"/>
        </w:rPr>
        <w:t xml:space="preserve"> solution is a fully integrated system that delivers Azure compatible, software defined Infrastructure-as-a-Service (IaaS), Platform-as-a-Service (PaaS) on HPE hardware and Software-as-a-Service (SaaS) on Microsoft’ Azure public cloud is a superior offering for Purchasing Entity</w:t>
      </w:r>
      <w:r w:rsidRPr="008168FA">
        <w:rPr>
          <w:rFonts w:ascii="Arial" w:eastAsia="PMingLiU" w:hAnsi="Arial" w:cs="Times New Roman"/>
          <w:szCs w:val="20"/>
          <w:lang w:val="en-GB"/>
        </w:rPr>
        <w:t>:</w:t>
      </w:r>
    </w:p>
    <w:p w14:paraId="3D1B62C9" w14:textId="77777777" w:rsidR="00D24A4B" w:rsidRPr="008168FA"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3D5842">
        <w:rPr>
          <w:rFonts w:ascii="Arial" w:eastAsia="PMingLiU" w:hAnsi="Arial" w:cs="Times New Roman"/>
          <w:szCs w:val="20"/>
        </w:rPr>
        <w:t>HPE GreenLake Flex Capacity Packages may be demonstrated online or at an HPE location</w:t>
      </w:r>
    </w:p>
    <w:p w14:paraId="5EA984FF" w14:textId="77777777" w:rsidR="00D24A4B" w:rsidRPr="008168FA"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3D5842">
        <w:rPr>
          <w:rFonts w:ascii="Arial" w:eastAsia="PMingLiU" w:hAnsi="Arial" w:cs="Times New Roman"/>
          <w:szCs w:val="20"/>
        </w:rPr>
        <w:t>HPE will also provide training classes for an additional cost</w:t>
      </w:r>
    </w:p>
    <w:p w14:paraId="28600B85" w14:textId="77777777" w:rsidR="00D24A4B" w:rsidRDefault="00D24A4B" w:rsidP="00D24A4B">
      <w:pPr>
        <w:pStyle w:val="Bullet1Double0"/>
        <w:shd w:val="clear" w:color="auto" w:fill="DBDCDD"/>
      </w:pPr>
      <w:r>
        <w:t>8.17.1</w:t>
      </w:r>
      <w:r>
        <w:tab/>
        <w:t>Describe your testing and training periods that your offer for your service offerings.</w:t>
      </w:r>
    </w:p>
    <w:p w14:paraId="07A6C1D7" w14:textId="77777777" w:rsidR="00D24A4B" w:rsidRDefault="00D24A4B" w:rsidP="00D24A4B">
      <w:pPr>
        <w:pStyle w:val="Response"/>
      </w:pPr>
      <w:r>
        <w:t>Response:</w:t>
      </w:r>
    </w:p>
    <w:p w14:paraId="23670463" w14:textId="77777777" w:rsidR="00D24A4B" w:rsidRDefault="00D24A4B" w:rsidP="00D24A4B">
      <w:pPr>
        <w:pStyle w:val="BodyText"/>
      </w:pPr>
      <w:r w:rsidRPr="00F87ACC">
        <w:t xml:space="preserve">HPE </w:t>
      </w:r>
      <w:r>
        <w:t xml:space="preserve">GreenLake Flex Capacity Packages is on </w:t>
      </w:r>
      <w:r w:rsidRPr="00F87ACC">
        <w:t>premise, installed at a Purchasing Entity’s own site</w:t>
      </w:r>
      <w:r>
        <w:t xml:space="preserve">. </w:t>
      </w:r>
      <w:r w:rsidRPr="00F87ACC">
        <w:t>Upon request of the Purchasing Entity, HPE will provide a demonstration of the product capabilities over the internet</w:t>
      </w:r>
      <w:r>
        <w:t xml:space="preserve">. </w:t>
      </w:r>
      <w:r w:rsidRPr="00F87ACC">
        <w:t>HPE will also provide training classes for an additional cost.</w:t>
      </w:r>
    </w:p>
    <w:p w14:paraId="4220150B" w14:textId="77777777" w:rsidR="00D24A4B" w:rsidRDefault="00D24A4B" w:rsidP="00D24A4B">
      <w:pPr>
        <w:pStyle w:val="FigureCaptionAuto"/>
      </w:pPr>
      <w:r>
        <w:lastRenderedPageBreak/>
        <w:t>HPE Training Classes</w:t>
      </w:r>
    </w:p>
    <w:p w14:paraId="63D420FC" w14:textId="77777777" w:rsidR="00D24A4B" w:rsidRDefault="00D24A4B" w:rsidP="00D24A4B">
      <w:pPr>
        <w:pStyle w:val="BodyText"/>
      </w:pPr>
      <w:r>
        <w:rPr>
          <w:noProof/>
          <w:lang w:val="en-GB" w:eastAsia="en-GB"/>
        </w:rPr>
        <w:drawing>
          <wp:inline distT="0" distB="0" distL="0" distR="0" wp14:anchorId="2046E6BD" wp14:editId="5B0EAF55">
            <wp:extent cx="5624830" cy="2856865"/>
            <wp:effectExtent l="0" t="0" r="0" b="63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2302323.tmp"/>
                    <pic:cNvPicPr/>
                  </pic:nvPicPr>
                  <pic:blipFill>
                    <a:blip r:embed="rId46">
                      <a:extLst>
                        <a:ext uri="{28A0092B-C50C-407E-A947-70E740481C1C}">
                          <a14:useLocalDpi xmlns:a14="http://schemas.microsoft.com/office/drawing/2010/main" val="0"/>
                        </a:ext>
                      </a:extLst>
                    </a:blip>
                    <a:stretch>
                      <a:fillRect/>
                    </a:stretch>
                  </pic:blipFill>
                  <pic:spPr>
                    <a:xfrm>
                      <a:off x="0" y="0"/>
                      <a:ext cx="5624830" cy="2856865"/>
                    </a:xfrm>
                    <a:prstGeom prst="rect">
                      <a:avLst/>
                    </a:prstGeom>
                  </pic:spPr>
                </pic:pic>
              </a:graphicData>
            </a:graphic>
          </wp:inline>
        </w:drawing>
      </w:r>
    </w:p>
    <w:p w14:paraId="5C024327" w14:textId="77777777" w:rsidR="00D24A4B" w:rsidRDefault="00D24A4B" w:rsidP="00D24A4B">
      <w:pPr>
        <w:pStyle w:val="Bullet1Double0"/>
        <w:shd w:val="clear" w:color="auto" w:fill="DBDCDD"/>
        <w:ind w:left="720" w:hanging="720"/>
      </w:pPr>
      <w:r>
        <w:t>8.17.2</w:t>
      </w:r>
      <w:r>
        <w:tab/>
        <w:t>Describe how you intend to provide a test and/or proof of concept environment for evaluation that verifies your ability to meet mandatory requirements.</w:t>
      </w:r>
    </w:p>
    <w:p w14:paraId="5DD726AD" w14:textId="77777777" w:rsidR="00D24A4B" w:rsidRDefault="00D24A4B" w:rsidP="00D24A4B">
      <w:pPr>
        <w:pStyle w:val="Response"/>
      </w:pPr>
      <w:r>
        <w:t>Response:</w:t>
      </w:r>
    </w:p>
    <w:p w14:paraId="21F3B030" w14:textId="77777777" w:rsidR="00D24A4B" w:rsidRDefault="00D24A4B" w:rsidP="00D24A4B">
      <w:pPr>
        <w:pStyle w:val="BodyText"/>
      </w:pPr>
      <w:r>
        <w:t xml:space="preserve">HPE GreenLake Flex Capacity Packages may be demonstrated online or at an HPE location (available on request) for testing and/or proof of concept evaluation that would be used to show mandatory capabilities and requirements. </w:t>
      </w:r>
    </w:p>
    <w:p w14:paraId="1CBAE626" w14:textId="77777777" w:rsidR="00D24A4B" w:rsidRPr="00395B02" w:rsidRDefault="00D24A4B" w:rsidP="00D24A4B">
      <w:pPr>
        <w:pStyle w:val="BodyText"/>
      </w:pPr>
      <w:r>
        <w:t>HPE will work with the Purchasing Entity to demonstrate a subset of product features that are indicative of the product capabilities. The scope of the product feature subset will be agreed to by HPE and the Purchasing Entity prior to the start of any Proof of Concept.</w:t>
      </w:r>
    </w:p>
    <w:p w14:paraId="491C08EF" w14:textId="77777777" w:rsidR="00D24A4B" w:rsidRDefault="00D24A4B" w:rsidP="00D24A4B">
      <w:pPr>
        <w:pStyle w:val="Bullet1Double0"/>
        <w:shd w:val="clear" w:color="auto" w:fill="DBDCDD"/>
      </w:pPr>
      <w:r>
        <w:t>8.17.3</w:t>
      </w:r>
      <w:r>
        <w:tab/>
        <w:t>Offeror must describe what training and support it provides at no additional cost.</w:t>
      </w:r>
    </w:p>
    <w:p w14:paraId="538F9D74" w14:textId="77777777" w:rsidR="00D24A4B" w:rsidRDefault="00D24A4B" w:rsidP="00D24A4B">
      <w:pPr>
        <w:pStyle w:val="Response"/>
      </w:pPr>
      <w:r>
        <w:t>Response:</w:t>
      </w:r>
    </w:p>
    <w:p w14:paraId="479842CE" w14:textId="77777777" w:rsidR="00D24A4B" w:rsidRPr="00395B02" w:rsidRDefault="00D24A4B" w:rsidP="00D24A4B">
      <w:pPr>
        <w:pStyle w:val="BodyText"/>
      </w:pPr>
      <w:r>
        <w:t xml:space="preserve">HPE provides </w:t>
      </w:r>
      <w:r w:rsidRPr="00AF4060">
        <w:t>HPE ANCIS 5-day Onsite SVC</w:t>
      </w:r>
      <w:r>
        <w:t xml:space="preserve"> training for Purchasing Entity at no additional cost. </w:t>
      </w:r>
      <w:r w:rsidRPr="00F87ACC">
        <w:t>HPE supports this offering with our highest SLA, Datacenter Care</w:t>
      </w:r>
      <w:r>
        <w:t xml:space="preserve">. </w:t>
      </w:r>
      <w:r w:rsidRPr="00F87ACC">
        <w:t>Datacenter Ca</w:t>
      </w:r>
      <w:r>
        <w:t xml:space="preserve">re offers </w:t>
      </w:r>
      <w:r w:rsidRPr="00F87ACC">
        <w:t>24x7 support, technical account support managers, and knowledge transfer</w:t>
      </w:r>
      <w:r>
        <w:t>.</w:t>
      </w:r>
      <w:r w:rsidRPr="00F87ACC">
        <w:t xml:space="preserve"> Formal training on the specific technology is also available for an additional cost.</w:t>
      </w:r>
    </w:p>
    <w:p w14:paraId="3747C69B" w14:textId="77777777" w:rsidR="00D24A4B" w:rsidRDefault="00D24A4B" w:rsidP="00D24A4B">
      <w:pPr>
        <w:pStyle w:val="Heading30"/>
      </w:pPr>
      <w:bookmarkStart w:id="55" w:name="_Toc514418405"/>
      <w:bookmarkStart w:id="56" w:name="_Toc518548605"/>
      <w:r>
        <w:t>8.18</w:t>
      </w:r>
      <w:r>
        <w:tab/>
        <w:t>(E) Integration And Customization</w:t>
      </w:r>
      <w:bookmarkEnd w:id="55"/>
      <w:bookmarkEnd w:id="56"/>
    </w:p>
    <w:p w14:paraId="579B061E" w14:textId="77777777" w:rsidR="00D24A4B" w:rsidRPr="008168FA" w:rsidRDefault="00D24A4B" w:rsidP="00D24A4B">
      <w:pPr>
        <w:shd w:val="clear" w:color="auto" w:fill="E2EFD9" w:themeFill="accent6" w:themeFillTint="33"/>
        <w:spacing w:after="160" w:line="259" w:lineRule="auto"/>
        <w:rPr>
          <w:rFonts w:ascii="Arial" w:eastAsia="PMingLiU" w:hAnsi="Arial" w:cs="Times New Roman"/>
          <w:szCs w:val="20"/>
          <w:lang w:val="en-GB"/>
        </w:rPr>
      </w:pPr>
      <w:r w:rsidRPr="00C8354F">
        <w:rPr>
          <w:rFonts w:ascii="Arial" w:eastAsia="PMingLiU" w:hAnsi="Arial" w:cs="Times New Roman"/>
          <w:szCs w:val="20"/>
          <w:lang w:val="en-GB"/>
        </w:rPr>
        <w:t xml:space="preserve">HPE </w:t>
      </w:r>
      <w:r>
        <w:rPr>
          <w:rFonts w:ascii="Arial" w:eastAsia="PMingLiU" w:hAnsi="Arial" w:cs="Times New Roman"/>
          <w:szCs w:val="20"/>
          <w:lang w:val="en-GB"/>
        </w:rPr>
        <w:t>hybrid cloud</w:t>
      </w:r>
      <w:r w:rsidRPr="00C8354F">
        <w:rPr>
          <w:rFonts w:ascii="Arial" w:eastAsia="PMingLiU" w:hAnsi="Arial" w:cs="Times New Roman"/>
          <w:szCs w:val="20"/>
          <w:lang w:val="en-GB"/>
        </w:rPr>
        <w:t xml:space="preserve"> solution is a fully integrated system that delivers Azure compatible, software defined Infrastructure-as-a-Service (IaaS), Platform-as-a-Service (PaaS) on HPE hardware and Software-as-a-Service (SaaS) on Microsoft’ Azure public cloud is a superior offering for Purchasing Entity</w:t>
      </w:r>
      <w:r w:rsidRPr="008168FA">
        <w:rPr>
          <w:rFonts w:ascii="Arial" w:eastAsia="PMingLiU" w:hAnsi="Arial" w:cs="Times New Roman"/>
          <w:szCs w:val="20"/>
          <w:lang w:val="en-GB"/>
        </w:rPr>
        <w:t>:</w:t>
      </w:r>
    </w:p>
    <w:p w14:paraId="7146969F" w14:textId="77777777" w:rsidR="00D24A4B" w:rsidRPr="00C8354F"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C8354F">
        <w:rPr>
          <w:rFonts w:ascii="Arial" w:eastAsia="PMingLiU" w:hAnsi="Arial" w:cs="Times New Roman"/>
          <w:szCs w:val="20"/>
        </w:rPr>
        <w:t>HPE is able to offer a full range of IT consulting based on a joint SOW</w:t>
      </w:r>
    </w:p>
    <w:p w14:paraId="3C0D36EA" w14:textId="77777777" w:rsidR="00D24A4B" w:rsidRDefault="00D24A4B" w:rsidP="00D24A4B">
      <w:pPr>
        <w:pStyle w:val="Bullet1Double0"/>
        <w:shd w:val="clear" w:color="auto" w:fill="DBDCDD"/>
        <w:ind w:left="720" w:hanging="720"/>
      </w:pPr>
      <w:r>
        <w:t>8.18.1</w:t>
      </w:r>
      <w:r>
        <w:tab/>
        <w:t>Describe how the Solutions you provide can be integrated to other complementary applications, and if you offer standard-based interface to enable additional integrations.</w:t>
      </w:r>
    </w:p>
    <w:p w14:paraId="6200913D" w14:textId="77777777" w:rsidR="00D24A4B" w:rsidRDefault="00D24A4B" w:rsidP="00D24A4B">
      <w:pPr>
        <w:pStyle w:val="Response"/>
      </w:pPr>
      <w:r>
        <w:lastRenderedPageBreak/>
        <w:t>Response:</w:t>
      </w:r>
    </w:p>
    <w:p w14:paraId="4AD0B005" w14:textId="77777777" w:rsidR="00D24A4B" w:rsidRPr="00395B02" w:rsidRDefault="00D24A4B" w:rsidP="00D24A4B">
      <w:pPr>
        <w:pStyle w:val="BodyText"/>
      </w:pPr>
      <w:r w:rsidRPr="00871A89">
        <w:t xml:space="preserve">This requirement is up to the Purchasing Entity to determine since the </w:t>
      </w:r>
      <w:r>
        <w:t>System</w:t>
      </w:r>
      <w:r w:rsidRPr="00871A89">
        <w:t xml:space="preserve"> is on its premises and controlled by its information technology staff. The solution can be integrated to other complimentary applications as the Purchasing Entity sees fit.</w:t>
      </w:r>
      <w:r>
        <w:t xml:space="preserve"> In section 8.20 Value added Services, HPE has supplied a comprehensive list of services that will allow for the </w:t>
      </w:r>
      <w:r w:rsidRPr="00F42AAD">
        <w:t>Purchasing Entity</w:t>
      </w:r>
      <w:r>
        <w:t xml:space="preserve"> to customize the solution.</w:t>
      </w:r>
    </w:p>
    <w:p w14:paraId="42FD8802" w14:textId="77777777" w:rsidR="00D24A4B" w:rsidRDefault="00D24A4B" w:rsidP="00D24A4B">
      <w:pPr>
        <w:pStyle w:val="Bullet1Double0"/>
        <w:shd w:val="clear" w:color="auto" w:fill="DBDCDD"/>
        <w:ind w:left="720" w:hanging="720"/>
      </w:pPr>
      <w:r>
        <w:t>8.18.2</w:t>
      </w:r>
      <w:r>
        <w:tab/>
        <w:t>Describe the ways to customize and personalize the Solutions you provide to meet the needs of specific Purchasing Entities.</w:t>
      </w:r>
    </w:p>
    <w:p w14:paraId="1357868D" w14:textId="77777777" w:rsidR="00D24A4B" w:rsidRDefault="00D24A4B" w:rsidP="00D24A4B">
      <w:pPr>
        <w:pStyle w:val="Response"/>
      </w:pPr>
      <w:r>
        <w:t>Response:</w:t>
      </w:r>
    </w:p>
    <w:p w14:paraId="1FD19030" w14:textId="77777777" w:rsidR="00D24A4B" w:rsidRPr="00395B02" w:rsidRDefault="00D24A4B" w:rsidP="00D24A4B">
      <w:pPr>
        <w:pStyle w:val="BodyText"/>
      </w:pPr>
      <w:r w:rsidRPr="007245FD">
        <w:t xml:space="preserve">HPE </w:t>
      </w:r>
      <w:r w:rsidRPr="00D47CC5">
        <w:t>GreenLake Flex Capacity Packages</w:t>
      </w:r>
      <w:r w:rsidRPr="00D47CC5" w:rsidDel="00D47CC5">
        <w:t xml:space="preserve"> </w:t>
      </w:r>
      <w:r w:rsidRPr="007245FD">
        <w:t xml:space="preserve">is a general purpose </w:t>
      </w:r>
      <w:r>
        <w:t>service</w:t>
      </w:r>
      <w:r w:rsidRPr="007245FD">
        <w:t xml:space="preserve"> and is installed at a Purchasing Entity site and is used by the Purchasing Entity client in the way they want. HPE is very willing to work with the </w:t>
      </w:r>
      <w:r>
        <w:t xml:space="preserve">Purchasing Entity to customize and </w:t>
      </w:r>
      <w:r w:rsidRPr="007245FD">
        <w:t>personalize this solution to meet the needs of the specific Purchasing Entity at additional cost. HPE is able to offer a full range of IT consulting</w:t>
      </w:r>
      <w:r>
        <w:t>.</w:t>
      </w:r>
    </w:p>
    <w:p w14:paraId="4595476C" w14:textId="77777777" w:rsidR="00D24A4B" w:rsidRDefault="00D24A4B" w:rsidP="00D24A4B">
      <w:pPr>
        <w:pStyle w:val="Heading30"/>
      </w:pPr>
      <w:bookmarkStart w:id="57" w:name="_Toc514418406"/>
      <w:bookmarkStart w:id="58" w:name="_Toc518548606"/>
      <w:r>
        <w:t>8.19</w:t>
      </w:r>
      <w:r>
        <w:tab/>
        <w:t>(E) Marketing Plan</w:t>
      </w:r>
      <w:bookmarkEnd w:id="57"/>
      <w:bookmarkEnd w:id="58"/>
    </w:p>
    <w:p w14:paraId="0AE1C6BD" w14:textId="77777777" w:rsidR="00D24A4B" w:rsidRPr="008168FA" w:rsidRDefault="00D24A4B" w:rsidP="00D24A4B">
      <w:pPr>
        <w:shd w:val="clear" w:color="auto" w:fill="E2EFD9" w:themeFill="accent6" w:themeFillTint="33"/>
        <w:spacing w:after="160" w:line="259" w:lineRule="auto"/>
        <w:rPr>
          <w:rFonts w:ascii="Arial" w:eastAsia="PMingLiU" w:hAnsi="Arial" w:cs="Times New Roman"/>
          <w:szCs w:val="20"/>
          <w:lang w:val="en-GB"/>
        </w:rPr>
      </w:pPr>
      <w:r w:rsidRPr="00C8354F">
        <w:rPr>
          <w:rFonts w:ascii="Arial" w:eastAsia="PMingLiU" w:hAnsi="Arial" w:cs="Times New Roman"/>
          <w:szCs w:val="20"/>
          <w:lang w:val="en-GB"/>
        </w:rPr>
        <w:t xml:space="preserve">HPE </w:t>
      </w:r>
      <w:r>
        <w:rPr>
          <w:rFonts w:ascii="Arial" w:eastAsia="PMingLiU" w:hAnsi="Arial" w:cs="Times New Roman"/>
          <w:szCs w:val="20"/>
          <w:lang w:val="en-GB"/>
        </w:rPr>
        <w:t>hybrid cloud</w:t>
      </w:r>
      <w:r w:rsidRPr="00C8354F">
        <w:rPr>
          <w:rFonts w:ascii="Arial" w:eastAsia="PMingLiU" w:hAnsi="Arial" w:cs="Times New Roman"/>
          <w:szCs w:val="20"/>
          <w:lang w:val="en-GB"/>
        </w:rPr>
        <w:t xml:space="preserve"> solution is a fully integrated system that delivers Azure compatible, software defined Infrastructure-as-a-Service (IaaS), Platform-as-a-Service (PaaS) on HPE hardware and Software-as-a-Service (SaaS) on Microsoft’ Azure public cloud is a superior offering for Purchasing Entity</w:t>
      </w:r>
      <w:r w:rsidRPr="008168FA">
        <w:rPr>
          <w:rFonts w:ascii="Arial" w:eastAsia="PMingLiU" w:hAnsi="Arial" w:cs="Times New Roman"/>
          <w:szCs w:val="20"/>
          <w:lang w:val="en-GB"/>
        </w:rPr>
        <w:t>:</w:t>
      </w:r>
    </w:p>
    <w:p w14:paraId="12920599" w14:textId="77777777" w:rsidR="00D24A4B" w:rsidRPr="008168FA"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BA7B28">
        <w:rPr>
          <w:rFonts w:ascii="Arial" w:eastAsia="PMingLiU" w:hAnsi="Arial" w:cs="Times New Roman"/>
          <w:szCs w:val="20"/>
        </w:rPr>
        <w:t>HPE will create a B2B Website</w:t>
      </w:r>
    </w:p>
    <w:p w14:paraId="06ED7642" w14:textId="77777777" w:rsidR="00D24A4B" w:rsidRPr="008168FA"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BA7B28">
        <w:rPr>
          <w:rFonts w:ascii="Arial" w:eastAsia="PMingLiU" w:hAnsi="Arial" w:cs="Times New Roman"/>
          <w:szCs w:val="20"/>
        </w:rPr>
        <w:t>HPE will develop a marketing brochure</w:t>
      </w:r>
    </w:p>
    <w:p w14:paraId="5EDE73E1" w14:textId="77777777" w:rsidR="00D24A4B" w:rsidRPr="008168FA"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BA7B28">
        <w:rPr>
          <w:rFonts w:ascii="Arial" w:eastAsia="PMingLiU" w:hAnsi="Arial" w:cs="Times New Roman"/>
          <w:szCs w:val="20"/>
        </w:rPr>
        <w:t>HPE has scheduled seminars in local major cities to review the latest IT trends and new HPE products</w:t>
      </w:r>
    </w:p>
    <w:p w14:paraId="17105788" w14:textId="77777777" w:rsidR="00D24A4B" w:rsidRPr="008168FA"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BA7B28">
        <w:rPr>
          <w:rFonts w:ascii="Arial" w:eastAsia="PMingLiU" w:hAnsi="Arial" w:cs="Times New Roman"/>
          <w:szCs w:val="20"/>
        </w:rPr>
        <w:t>HPE will host educational forums to teach State, Local and Educations customers about some of the latest technology changes and solutions impacting government.</w:t>
      </w:r>
    </w:p>
    <w:p w14:paraId="68FAB93F" w14:textId="77777777" w:rsidR="00D24A4B" w:rsidRDefault="00D24A4B" w:rsidP="00D24A4B">
      <w:pPr>
        <w:pStyle w:val="BodyText0"/>
      </w:pPr>
      <w:r>
        <w:t xml:space="preserve">Describe your how you intend to market your Solutions to NASPO ValuePoint and Participating Entities. </w:t>
      </w:r>
    </w:p>
    <w:p w14:paraId="75A1929B" w14:textId="77777777" w:rsidR="00D24A4B" w:rsidRDefault="00D24A4B" w:rsidP="00D24A4B">
      <w:pPr>
        <w:pStyle w:val="Response"/>
      </w:pPr>
      <w:r>
        <w:t>Response:</w:t>
      </w:r>
    </w:p>
    <w:p w14:paraId="528233A7" w14:textId="77777777" w:rsidR="00D24A4B" w:rsidRDefault="00D24A4B" w:rsidP="00D24A4B">
      <w:pPr>
        <w:pStyle w:val="BodyText"/>
      </w:pPr>
      <w:r>
        <w:t>HPE’s marketing plan consists of many different outreach avenues.</w:t>
      </w:r>
    </w:p>
    <w:p w14:paraId="68046482" w14:textId="77777777" w:rsidR="00D24A4B" w:rsidRDefault="00D24A4B" w:rsidP="00D24A4B">
      <w:pPr>
        <w:pStyle w:val="Subheading"/>
      </w:pPr>
      <w:r>
        <w:t>B2B Website</w:t>
      </w:r>
    </w:p>
    <w:p w14:paraId="0B90BD13" w14:textId="77777777" w:rsidR="00D24A4B" w:rsidRDefault="00D24A4B" w:rsidP="00D24A4B">
      <w:pPr>
        <w:pStyle w:val="BodyText"/>
      </w:pPr>
      <w:r>
        <w:t>Upon award, HPE will create a B2B standalone site, as seen below, to provide easy access and posting for participating state and entity sites.</w:t>
      </w:r>
    </w:p>
    <w:p w14:paraId="4AB24051" w14:textId="77777777" w:rsidR="00D24A4B" w:rsidRDefault="00D24A4B" w:rsidP="00D24A4B">
      <w:pPr>
        <w:pStyle w:val="FigureCaptionAuto"/>
      </w:pPr>
      <w:r>
        <w:lastRenderedPageBreak/>
        <w:t>Example B2B Standalone Site</w:t>
      </w:r>
    </w:p>
    <w:p w14:paraId="335A4908" w14:textId="77777777" w:rsidR="00D24A4B" w:rsidRDefault="00D24A4B" w:rsidP="00D24A4B">
      <w:pPr>
        <w:pStyle w:val="BodyText"/>
      </w:pPr>
      <w:r w:rsidRPr="00C8354F">
        <w:rPr>
          <w:noProof/>
          <w:lang w:val="en-GB" w:eastAsia="en-GB"/>
        </w:rPr>
        <w:drawing>
          <wp:inline distT="0" distB="0" distL="0" distR="0" wp14:anchorId="5D694571" wp14:editId="2A99D9AB">
            <wp:extent cx="5944350" cy="3424687"/>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50437" cy="3428194"/>
                    </a:xfrm>
                    <a:prstGeom prst="rect">
                      <a:avLst/>
                    </a:prstGeom>
                  </pic:spPr>
                </pic:pic>
              </a:graphicData>
            </a:graphic>
          </wp:inline>
        </w:drawing>
      </w:r>
    </w:p>
    <w:p w14:paraId="29B07713" w14:textId="77777777" w:rsidR="00D24A4B" w:rsidRDefault="00D24A4B" w:rsidP="00D24A4B">
      <w:pPr>
        <w:pStyle w:val="Figure"/>
      </w:pPr>
    </w:p>
    <w:p w14:paraId="71D4CC19" w14:textId="77777777" w:rsidR="00D24A4B" w:rsidRDefault="00D24A4B" w:rsidP="00D24A4B">
      <w:pPr>
        <w:pStyle w:val="Subheading"/>
      </w:pPr>
      <w:r>
        <w:t>Implementation Plan and Marketing Methodology</w:t>
      </w:r>
    </w:p>
    <w:p w14:paraId="0BA6BDC4" w14:textId="77777777" w:rsidR="00D24A4B" w:rsidRDefault="00D24A4B" w:rsidP="00D24A4B">
      <w:pPr>
        <w:pStyle w:val="BodyText"/>
      </w:pPr>
      <w:r>
        <w:t>HPE is committed to marketing and promoting the B2B site and contract through the hundreds of HPE Partners that support the contract, Inside Sales teams, and the Field Sales Account Managers.</w:t>
      </w:r>
    </w:p>
    <w:p w14:paraId="16CAC439" w14:textId="77777777" w:rsidR="00D24A4B" w:rsidRDefault="00D24A4B" w:rsidP="00D24A4B">
      <w:pPr>
        <w:pStyle w:val="BodyText"/>
      </w:pPr>
      <w:r>
        <w:t>In 2018, HPE will develop a marketing brochure for the NASPO ValuePoint Cloud Solutions Master Agreement Administrator review and approval to provide as a leave-behind for partners and at the many state, local and educational events HPE attends throughout each year to bring a higher level awareness to the contract.</w:t>
      </w:r>
    </w:p>
    <w:p w14:paraId="7BD68523" w14:textId="77777777" w:rsidR="00D24A4B" w:rsidRDefault="00D24A4B" w:rsidP="00D24A4B">
      <w:pPr>
        <w:pStyle w:val="BodyText"/>
      </w:pPr>
      <w:r>
        <w:t>Upon contract award of the NASPO ValuePoint Cloud Contract, HPE plans to promote the contract award through internal and external communications as approved by the NASPO ValuePoint Cloud Solutions Master Agreement Administrator. The goal of marketing the NASPO ValuePoint Cloud contract is to communicate the value proposition, benefits, and the NASPO ValuePoint and HPE story.</w:t>
      </w:r>
    </w:p>
    <w:p w14:paraId="6FBE8606" w14:textId="77777777" w:rsidR="00D24A4B" w:rsidRDefault="00D24A4B" w:rsidP="00D24A4B">
      <w:pPr>
        <w:pStyle w:val="BodyText"/>
      </w:pPr>
      <w:r>
        <w:t>To ensure a harmonized and effective marketing plan execution, the HPE NASPO ValuePoint Cloud Primary Account Representative, with the collaboration of the NASPO ValuePoint Cloud Solutions Master Agreement Administrator and NASPO ValuePoint designated participating states, will develop a plan annually that will help in promoting contract awareness and value for the contract. HPE looks forward to reviewing and discussing the proposed plan with NASPO ValuePoint after award.</w:t>
      </w:r>
    </w:p>
    <w:p w14:paraId="7B288D30" w14:textId="77777777" w:rsidR="00D24A4B" w:rsidRDefault="00D24A4B" w:rsidP="00D24A4B">
      <w:pPr>
        <w:pStyle w:val="Subheading"/>
      </w:pPr>
      <w:r>
        <w:t>Advertising</w:t>
      </w:r>
    </w:p>
    <w:p w14:paraId="5DBD51C3" w14:textId="77777777" w:rsidR="00D24A4B" w:rsidRDefault="00D24A4B" w:rsidP="00D24A4B">
      <w:pPr>
        <w:pStyle w:val="BodyText"/>
      </w:pPr>
      <w:r>
        <w:t xml:space="preserve">HPE will drive contract awareness and product/service promotions under the NASPO ValuePoint Cloud contract through HPE web banners on the HPE government website. Promoting the HPE NASPO ValuePoint Cloud contract value proposition and product/service promotions through web banners provides an opportunity to reach a large </w:t>
      </w:r>
      <w:r>
        <w:lastRenderedPageBreak/>
        <w:t>audience of NASPO ValuePoint Cloud procuring entities. Web banners have a “call to action” inviting the reader to contact HPE for pricing and information.</w:t>
      </w:r>
    </w:p>
    <w:p w14:paraId="42F69243" w14:textId="77777777" w:rsidR="00D24A4B" w:rsidRDefault="00D24A4B" w:rsidP="00D24A4B">
      <w:pPr>
        <w:pStyle w:val="Subheading"/>
      </w:pPr>
      <w:r>
        <w:t>NASPO ValuePoint Marketing Events and More</w:t>
      </w:r>
    </w:p>
    <w:p w14:paraId="0855E7D0" w14:textId="77777777" w:rsidR="00D24A4B" w:rsidRDefault="00D24A4B" w:rsidP="00D24A4B">
      <w:pPr>
        <w:pStyle w:val="BodyText"/>
      </w:pPr>
      <w:r>
        <w:t>The HPE Primary Account Representative and other Program Management team members will meet with participating states throughout the year to review participating state marketing plans and events, which may include Management.</w:t>
      </w:r>
    </w:p>
    <w:p w14:paraId="62AAD760" w14:textId="77777777" w:rsidR="00D24A4B" w:rsidRDefault="00D24A4B" w:rsidP="00D24A4B">
      <w:pPr>
        <w:pStyle w:val="BodyText"/>
      </w:pPr>
      <w:r>
        <w:t>HPE has scheduled seminars in local major cities to review the latest IT trends and new HPE products with both local agencies and HPE authorized partners. HPE would like the opportunity to promote this contract at these events. HPE will work with the NASPO ValuePoint Cloud Solutions Master Agreement Administrator, designated NASPO ValuePoint teams and/or participating states to make them aware of these events or schedule additional seminars. These events/seminars will give important information to agencies on contract specifics including product scope, ordering information, and how to save more using this contract.</w:t>
      </w:r>
    </w:p>
    <w:p w14:paraId="4F155C49" w14:textId="77777777" w:rsidR="00D24A4B" w:rsidRDefault="00D24A4B" w:rsidP="00D24A4B">
      <w:pPr>
        <w:pStyle w:val="Subheading"/>
      </w:pPr>
      <w:r>
        <w:t>Additional Seminars and Events</w:t>
      </w:r>
    </w:p>
    <w:p w14:paraId="01823144" w14:textId="77777777" w:rsidR="00D24A4B" w:rsidRDefault="00D24A4B" w:rsidP="00D24A4B">
      <w:pPr>
        <w:pStyle w:val="BodyText"/>
      </w:pPr>
      <w:r>
        <w:t>HPE participates in many conferences and seminars attended by State, Local and Education customers. At these events, HPE will have a booth to display product and services. At events in NASPO ValuePoint Cloud states, an 8 ½” x 11” line card will be placed in the booth to promote the HPE NASPO ValuePoint Cloud contract as approved by NASPO ValuePoint Cloud Solutions Master Agreement Administrator. Promoting the HPE NASPO ValuePoint Cloud contract in events at the booth makes it easy for event attendees to identify HPE as an awarded Vendor with NASPO ValuePoint, and provides an opportunity for the HPE sales team to engage with NASPO ValuePoint procuring entities and buyers.</w:t>
      </w:r>
    </w:p>
    <w:p w14:paraId="7AA8C1E2" w14:textId="77777777" w:rsidR="00D24A4B" w:rsidRDefault="00D24A4B" w:rsidP="00D24A4B">
      <w:pPr>
        <w:pStyle w:val="Subheading"/>
      </w:pPr>
      <w:r>
        <w:t>State, Local and Education Forums</w:t>
      </w:r>
    </w:p>
    <w:p w14:paraId="3723068C" w14:textId="77777777" w:rsidR="00D24A4B" w:rsidRDefault="00D24A4B" w:rsidP="00D24A4B">
      <w:pPr>
        <w:pStyle w:val="BodyText"/>
      </w:pPr>
      <w:r>
        <w:t>HPE will host educational forums to teach State, Local and Educations customers about some of the latest technology changes and solutions impacting government. The Forums will be led by specialists from HPE experienced in IT solutions, and customers from State, Local and Education that will share best practices. This is an opportunity for State, Local and Education customers to learn how to make the most use of the technology offered from HPE, while gaining insight from peer-to-peer networking.</w:t>
      </w:r>
    </w:p>
    <w:p w14:paraId="55BEE939" w14:textId="77777777" w:rsidR="00D24A4B" w:rsidRPr="00223340" w:rsidRDefault="00D24A4B" w:rsidP="00D24A4B">
      <w:pPr>
        <w:pStyle w:val="BodyText"/>
      </w:pPr>
      <w:r>
        <w:t>As allowed and approved by the NASPO ValuePoint Cloud Solutions Master Agreement Administrator, HPE NASPO ValuePoint Cloud state-approved partners can assist in the marketing activities in this section to promote the contract through telemarketing campaigns, events and distribution of NASPO ValuePoint Master Agreement for Cloud Solutions Administrator approved marketing documents. This will allow HPE to reach even more agencies for contract awareness.</w:t>
      </w:r>
    </w:p>
    <w:p w14:paraId="18060AAC" w14:textId="77777777" w:rsidR="00D24A4B" w:rsidRDefault="00D24A4B" w:rsidP="00D24A4B">
      <w:pPr>
        <w:pStyle w:val="Heading30"/>
      </w:pPr>
      <w:bookmarkStart w:id="59" w:name="_Toc514418407"/>
      <w:bookmarkStart w:id="60" w:name="_Toc518548607"/>
      <w:r w:rsidRPr="005E7AEA">
        <w:t>8.20</w:t>
      </w:r>
      <w:r w:rsidRPr="005E7AEA">
        <w:tab/>
        <w:t xml:space="preserve">(E) </w:t>
      </w:r>
      <w:bookmarkEnd w:id="59"/>
      <w:r w:rsidRPr="005E7AEA">
        <w:t>Related Value-Added Services to Cloud</w:t>
      </w:r>
      <w:r>
        <w:t xml:space="preserve"> Solutions</w:t>
      </w:r>
      <w:bookmarkEnd w:id="60"/>
    </w:p>
    <w:p w14:paraId="3AD42F98" w14:textId="77777777" w:rsidR="00D24A4B" w:rsidRPr="008168FA" w:rsidRDefault="00D24A4B" w:rsidP="00D24A4B">
      <w:pPr>
        <w:shd w:val="clear" w:color="auto" w:fill="E2EFD9" w:themeFill="accent6" w:themeFillTint="33"/>
        <w:spacing w:after="160" w:line="259" w:lineRule="auto"/>
        <w:rPr>
          <w:rFonts w:ascii="Arial" w:eastAsia="PMingLiU" w:hAnsi="Arial" w:cs="Times New Roman"/>
          <w:szCs w:val="20"/>
          <w:lang w:val="en-GB"/>
        </w:rPr>
      </w:pPr>
      <w:r w:rsidRPr="00C8354F">
        <w:rPr>
          <w:rFonts w:ascii="Arial" w:eastAsia="PMingLiU" w:hAnsi="Arial" w:cs="Times New Roman"/>
          <w:szCs w:val="20"/>
          <w:lang w:val="en-GB"/>
        </w:rPr>
        <w:t xml:space="preserve">HPE </w:t>
      </w:r>
      <w:r>
        <w:rPr>
          <w:rFonts w:ascii="Arial" w:eastAsia="PMingLiU" w:hAnsi="Arial" w:cs="Times New Roman"/>
          <w:szCs w:val="20"/>
          <w:lang w:val="en-GB"/>
        </w:rPr>
        <w:t>hybrid cloud</w:t>
      </w:r>
      <w:r w:rsidRPr="00C8354F">
        <w:rPr>
          <w:rFonts w:ascii="Arial" w:eastAsia="PMingLiU" w:hAnsi="Arial" w:cs="Times New Roman"/>
          <w:szCs w:val="20"/>
          <w:lang w:val="en-GB"/>
        </w:rPr>
        <w:t xml:space="preserve"> solution is a fully integrated system that delivers Azure compatible, software defined Infrastructure-as-a-Service (IaaS), Platform-as-a-Service (PaaS) on HPE hardware and Software-as-a-Service (SaaS) on Microsoft’ Azure public cloud is a superior offering for Purchasing Entity</w:t>
      </w:r>
      <w:r w:rsidRPr="008168FA">
        <w:rPr>
          <w:rFonts w:ascii="Arial" w:eastAsia="PMingLiU" w:hAnsi="Arial" w:cs="Times New Roman"/>
          <w:szCs w:val="20"/>
          <w:lang w:val="en-GB"/>
        </w:rPr>
        <w:t>:</w:t>
      </w:r>
    </w:p>
    <w:p w14:paraId="79329C27" w14:textId="77777777" w:rsidR="00D24A4B" w:rsidRPr="008168FA"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Pr>
          <w:rFonts w:ascii="Arial" w:eastAsia="PMingLiU" w:hAnsi="Arial" w:cs="Times New Roman"/>
          <w:szCs w:val="20"/>
        </w:rPr>
        <w:lastRenderedPageBreak/>
        <w:t>HPE PointNext offers an extended portfolio consulting servers from cloud design, workload planning, migration a</w:t>
      </w:r>
      <w:r w:rsidRPr="003D5842">
        <w:rPr>
          <w:rFonts w:ascii="Arial" w:eastAsia="PMingLiU" w:hAnsi="Arial" w:cs="Times New Roman"/>
          <w:szCs w:val="20"/>
        </w:rPr>
        <w:t>ssessment</w:t>
      </w:r>
      <w:r>
        <w:rPr>
          <w:rFonts w:ascii="Arial" w:eastAsia="PMingLiU" w:hAnsi="Arial" w:cs="Times New Roman"/>
          <w:szCs w:val="20"/>
        </w:rPr>
        <w:t xml:space="preserve"> and education classes</w:t>
      </w:r>
    </w:p>
    <w:p w14:paraId="259D7E61" w14:textId="77777777" w:rsidR="00D24A4B" w:rsidRDefault="00D24A4B" w:rsidP="00D24A4B">
      <w:pPr>
        <w:pStyle w:val="BodyText0"/>
      </w:pPr>
      <w:r>
        <w:t xml:space="preserve">Describe the valued-added services that you can provide as part of an awarded contract, e.g. consulting services pre- and post- implementation. Offerors may detail professional services in the RFP limited to assisting offering activities with initial setup, training and access to the services. </w:t>
      </w:r>
    </w:p>
    <w:p w14:paraId="26060C9B" w14:textId="77777777" w:rsidR="00D24A4B" w:rsidRDefault="00D24A4B" w:rsidP="00D24A4B">
      <w:pPr>
        <w:pStyle w:val="Response"/>
      </w:pPr>
      <w:r>
        <w:t>Response:</w:t>
      </w:r>
    </w:p>
    <w:p w14:paraId="511E6715" w14:textId="77777777" w:rsidR="00D24A4B" w:rsidRPr="00621E43" w:rsidRDefault="00D24A4B" w:rsidP="00D24A4B">
      <w:pPr>
        <w:pStyle w:val="BodyText"/>
        <w:jc w:val="center"/>
      </w:pPr>
      <w:r>
        <w:rPr>
          <w:noProof/>
          <w:lang w:val="en-GB" w:eastAsia="en-GB"/>
        </w:rPr>
        <w:drawing>
          <wp:inline distT="0" distB="0" distL="0" distR="0" wp14:anchorId="6B4031E3" wp14:editId="18C6B738">
            <wp:extent cx="5624830" cy="286131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23067DF.tmp"/>
                    <pic:cNvPicPr/>
                  </pic:nvPicPr>
                  <pic:blipFill>
                    <a:blip r:embed="rId48">
                      <a:extLst>
                        <a:ext uri="{28A0092B-C50C-407E-A947-70E740481C1C}">
                          <a14:useLocalDpi xmlns:a14="http://schemas.microsoft.com/office/drawing/2010/main" val="0"/>
                        </a:ext>
                      </a:extLst>
                    </a:blip>
                    <a:stretch>
                      <a:fillRect/>
                    </a:stretch>
                  </pic:blipFill>
                  <pic:spPr>
                    <a:xfrm>
                      <a:off x="0" y="0"/>
                      <a:ext cx="5624830" cy="2861310"/>
                    </a:xfrm>
                    <a:prstGeom prst="rect">
                      <a:avLst/>
                    </a:prstGeom>
                  </pic:spPr>
                </pic:pic>
              </a:graphicData>
            </a:graphic>
          </wp:inline>
        </w:drawing>
      </w:r>
    </w:p>
    <w:p w14:paraId="16656321" w14:textId="77777777" w:rsidR="00D24A4B" w:rsidRPr="00D80579" w:rsidRDefault="00D24A4B" w:rsidP="00D24A4B">
      <w:pPr>
        <w:pStyle w:val="Bullet1Double"/>
        <w:numPr>
          <w:ilvl w:val="0"/>
          <w:numId w:val="9"/>
        </w:numPr>
        <w:tabs>
          <w:tab w:val="clear" w:pos="0"/>
        </w:tabs>
        <w:ind w:left="360" w:hanging="360"/>
      </w:pPr>
      <w:bookmarkStart w:id="61" w:name="_Toc514418408"/>
      <w:r w:rsidRPr="00D80579">
        <w:t>Strategy and Roadmap Services</w:t>
      </w:r>
    </w:p>
    <w:p w14:paraId="4A989BF0" w14:textId="77777777" w:rsidR="00D24A4B" w:rsidRPr="00D80579" w:rsidRDefault="00D24A4B" w:rsidP="00D24A4B">
      <w:pPr>
        <w:pStyle w:val="Bullet1Double"/>
        <w:numPr>
          <w:ilvl w:val="0"/>
          <w:numId w:val="9"/>
        </w:numPr>
        <w:tabs>
          <w:tab w:val="clear" w:pos="0"/>
        </w:tabs>
        <w:ind w:left="360" w:hanging="360"/>
      </w:pPr>
      <w:r w:rsidRPr="00D80579">
        <w:t>Workload Planning and Migration</w:t>
      </w:r>
    </w:p>
    <w:p w14:paraId="5BA333CE" w14:textId="77777777" w:rsidR="00D24A4B" w:rsidRPr="00D80579" w:rsidRDefault="00D24A4B" w:rsidP="00D24A4B">
      <w:pPr>
        <w:pStyle w:val="Bullet1Double"/>
        <w:numPr>
          <w:ilvl w:val="0"/>
          <w:numId w:val="9"/>
        </w:numPr>
        <w:tabs>
          <w:tab w:val="clear" w:pos="0"/>
        </w:tabs>
        <w:ind w:left="360" w:hanging="360"/>
      </w:pPr>
      <w:r w:rsidRPr="00D80579">
        <w:t>Cloud Migration Assessment</w:t>
      </w:r>
    </w:p>
    <w:p w14:paraId="1F075C13" w14:textId="77777777" w:rsidR="00D24A4B" w:rsidRPr="00D80579" w:rsidRDefault="00D24A4B" w:rsidP="00D24A4B">
      <w:pPr>
        <w:pStyle w:val="Bullet1Double"/>
        <w:numPr>
          <w:ilvl w:val="0"/>
          <w:numId w:val="9"/>
        </w:numPr>
        <w:tabs>
          <w:tab w:val="clear" w:pos="0"/>
        </w:tabs>
        <w:ind w:left="360" w:hanging="360"/>
      </w:pPr>
      <w:r w:rsidRPr="00D80579">
        <w:t>Cloud Migration Design</w:t>
      </w:r>
    </w:p>
    <w:p w14:paraId="78641080" w14:textId="77777777" w:rsidR="00D24A4B" w:rsidRPr="00D80579" w:rsidRDefault="00D24A4B" w:rsidP="00D24A4B">
      <w:pPr>
        <w:pStyle w:val="Bullet1Double"/>
        <w:numPr>
          <w:ilvl w:val="0"/>
          <w:numId w:val="9"/>
        </w:numPr>
        <w:tabs>
          <w:tab w:val="clear" w:pos="0"/>
        </w:tabs>
        <w:ind w:left="360" w:hanging="360"/>
      </w:pPr>
      <w:r w:rsidRPr="00D80579">
        <w:t>Azure in to your Hybrid IT</w:t>
      </w:r>
    </w:p>
    <w:p w14:paraId="31DA0945" w14:textId="77777777" w:rsidR="00D24A4B" w:rsidRDefault="00D24A4B" w:rsidP="00D24A4B">
      <w:pPr>
        <w:pStyle w:val="Bullet1Double"/>
        <w:numPr>
          <w:ilvl w:val="0"/>
          <w:numId w:val="9"/>
        </w:numPr>
        <w:tabs>
          <w:tab w:val="clear" w:pos="0"/>
        </w:tabs>
        <w:ind w:left="360" w:hanging="360"/>
      </w:pPr>
      <w:r w:rsidRPr="00D80579">
        <w:t>Education Services</w:t>
      </w:r>
    </w:p>
    <w:p w14:paraId="14A25ED5" w14:textId="77777777" w:rsidR="00D24A4B" w:rsidRDefault="00D24A4B" w:rsidP="00D24A4B">
      <w:pPr>
        <w:pStyle w:val="TableCaptionAuto"/>
      </w:pPr>
      <w:r>
        <w:t>HPE Additional Value Added Services</w:t>
      </w:r>
    </w:p>
    <w:tbl>
      <w:tblPr>
        <w:tblStyle w:val="TableGrid"/>
        <w:tblW w:w="8858" w:type="dxa"/>
        <w:tblInd w:w="14" w:type="dxa"/>
        <w:tblLayout w:type="fixed"/>
        <w:tblCellMar>
          <w:top w:w="43" w:type="dxa"/>
          <w:left w:w="43" w:type="dxa"/>
          <w:bottom w:w="43" w:type="dxa"/>
          <w:right w:w="43" w:type="dxa"/>
        </w:tblCellMar>
        <w:tblLook w:val="04A0" w:firstRow="1" w:lastRow="0" w:firstColumn="1" w:lastColumn="0" w:noHBand="0" w:noVBand="1"/>
      </w:tblPr>
      <w:tblGrid>
        <w:gridCol w:w="8858"/>
      </w:tblGrid>
      <w:tr w:rsidR="00D24A4B" w14:paraId="4DD001B5" w14:textId="77777777" w:rsidTr="00C66137">
        <w:trPr>
          <w:tblHeader/>
        </w:trPr>
        <w:tc>
          <w:tcPr>
            <w:tcW w:w="8858" w:type="dxa"/>
            <w:tcBorders>
              <w:bottom w:val="single" w:sz="4" w:space="0" w:color="auto"/>
            </w:tcBorders>
            <w:shd w:val="clear" w:color="auto" w:fill="00B388"/>
          </w:tcPr>
          <w:p w14:paraId="341CBEC9" w14:textId="77777777" w:rsidR="00D24A4B" w:rsidRDefault="00D24A4B" w:rsidP="00C66137">
            <w:pPr>
              <w:pStyle w:val="TableHeading10"/>
            </w:pPr>
            <w:r>
              <w:t>Additional Value Added Services</w:t>
            </w:r>
          </w:p>
        </w:tc>
      </w:tr>
      <w:tr w:rsidR="00D24A4B" w14:paraId="4DE3CB74" w14:textId="77777777" w:rsidTr="00C66137">
        <w:tc>
          <w:tcPr>
            <w:tcW w:w="8858" w:type="dxa"/>
            <w:shd w:val="clear" w:color="auto" w:fill="B1B5B7"/>
          </w:tcPr>
          <w:p w14:paraId="3FDE4AAE" w14:textId="77777777" w:rsidR="00D24A4B" w:rsidRDefault="00D24A4B" w:rsidP="00C66137">
            <w:pPr>
              <w:pStyle w:val="TableSubheading10"/>
              <w:jc w:val="center"/>
            </w:pPr>
            <w:r>
              <w:t>One Sphere</w:t>
            </w:r>
          </w:p>
        </w:tc>
      </w:tr>
      <w:tr w:rsidR="00D24A4B" w14:paraId="3C0DDC54" w14:textId="77777777" w:rsidTr="00C66137">
        <w:tc>
          <w:tcPr>
            <w:tcW w:w="8858" w:type="dxa"/>
          </w:tcPr>
          <w:p w14:paraId="3700FD9A" w14:textId="77777777" w:rsidR="00D24A4B" w:rsidRDefault="00D24A4B" w:rsidP="00C66137">
            <w:pPr>
              <w:pStyle w:val="TableText10Single"/>
            </w:pPr>
            <w:r>
              <w:t>HPE OneSphere 1 HLU 3yr 24x7 E-LTU</w:t>
            </w:r>
          </w:p>
        </w:tc>
      </w:tr>
      <w:tr w:rsidR="00D24A4B" w14:paraId="41963199" w14:textId="77777777" w:rsidTr="00C66137">
        <w:tc>
          <w:tcPr>
            <w:tcW w:w="8858" w:type="dxa"/>
          </w:tcPr>
          <w:p w14:paraId="7ACA651E" w14:textId="77777777" w:rsidR="00D24A4B" w:rsidRDefault="00D24A4B" w:rsidP="00C66137">
            <w:pPr>
              <w:pStyle w:val="TableText10Single"/>
            </w:pPr>
            <w:r>
              <w:t>HPE OneSphere 4 HLU 3yr 24x7 E-LTU</w:t>
            </w:r>
          </w:p>
        </w:tc>
      </w:tr>
      <w:tr w:rsidR="00D24A4B" w14:paraId="392CA8F9" w14:textId="77777777" w:rsidTr="00C66137">
        <w:tc>
          <w:tcPr>
            <w:tcW w:w="8858" w:type="dxa"/>
            <w:tcBorders>
              <w:bottom w:val="single" w:sz="4" w:space="0" w:color="auto"/>
            </w:tcBorders>
          </w:tcPr>
          <w:p w14:paraId="39F9A49B" w14:textId="77777777" w:rsidR="00D24A4B" w:rsidRDefault="00D24A4B" w:rsidP="00C66137">
            <w:pPr>
              <w:pStyle w:val="TableText10Single"/>
            </w:pPr>
            <w:r>
              <w:t>HPE OneSphere 12 HLU 3yr 24x7 E-LTU</w:t>
            </w:r>
          </w:p>
        </w:tc>
      </w:tr>
      <w:tr w:rsidR="00D24A4B" w14:paraId="21692D82" w14:textId="77777777" w:rsidTr="00C66137">
        <w:tc>
          <w:tcPr>
            <w:tcW w:w="8858" w:type="dxa"/>
            <w:shd w:val="clear" w:color="auto" w:fill="B1B5B7"/>
          </w:tcPr>
          <w:p w14:paraId="015B2A0F" w14:textId="77777777" w:rsidR="00D24A4B" w:rsidRDefault="00D24A4B" w:rsidP="00C66137">
            <w:pPr>
              <w:pStyle w:val="TableSubheading10"/>
              <w:jc w:val="center"/>
            </w:pPr>
            <w:r>
              <w:t>Consulting Services</w:t>
            </w:r>
          </w:p>
        </w:tc>
      </w:tr>
      <w:tr w:rsidR="00D24A4B" w14:paraId="361A2C48" w14:textId="77777777" w:rsidTr="00C66137">
        <w:tc>
          <w:tcPr>
            <w:tcW w:w="8858" w:type="dxa"/>
          </w:tcPr>
          <w:p w14:paraId="5B03A693" w14:textId="77777777" w:rsidR="00D24A4B" w:rsidRDefault="00D24A4B" w:rsidP="00C66137">
            <w:pPr>
              <w:pStyle w:val="TableText10Single"/>
            </w:pPr>
            <w:r>
              <w:t>HPE Digital Wrkpl 5 Day Onsite Service</w:t>
            </w:r>
          </w:p>
        </w:tc>
      </w:tr>
      <w:tr w:rsidR="00D24A4B" w14:paraId="16A7A3F1" w14:textId="77777777" w:rsidTr="00C66137">
        <w:tc>
          <w:tcPr>
            <w:tcW w:w="8858" w:type="dxa"/>
          </w:tcPr>
          <w:p w14:paraId="2521A445" w14:textId="77777777" w:rsidR="00D24A4B" w:rsidRDefault="00D24A4B" w:rsidP="00C66137">
            <w:pPr>
              <w:pStyle w:val="TableText10Single"/>
            </w:pPr>
            <w:r>
              <w:t>HPE Digital Wrkpl 1 Day Remote Service</w:t>
            </w:r>
          </w:p>
        </w:tc>
      </w:tr>
      <w:tr w:rsidR="00D24A4B" w14:paraId="63FF6F23" w14:textId="77777777" w:rsidTr="00C66137">
        <w:tc>
          <w:tcPr>
            <w:tcW w:w="8858" w:type="dxa"/>
          </w:tcPr>
          <w:p w14:paraId="384902DB" w14:textId="77777777" w:rsidR="00D24A4B" w:rsidRDefault="00D24A4B" w:rsidP="00C66137">
            <w:pPr>
              <w:pStyle w:val="TableText10Single"/>
            </w:pPr>
            <w:r>
              <w:t>HPE Education Consulting 5 day Onsite Service</w:t>
            </w:r>
          </w:p>
        </w:tc>
      </w:tr>
      <w:tr w:rsidR="00D24A4B" w14:paraId="0C133DC0" w14:textId="77777777" w:rsidTr="00C66137">
        <w:tc>
          <w:tcPr>
            <w:tcW w:w="8858" w:type="dxa"/>
          </w:tcPr>
          <w:p w14:paraId="59577AEA" w14:textId="77777777" w:rsidR="00D24A4B" w:rsidRDefault="00D24A4B" w:rsidP="00C66137">
            <w:pPr>
              <w:pStyle w:val="TableText10Single"/>
            </w:pPr>
            <w:r>
              <w:t>Data Center Network (ANCIS) Service 5 Day  Onsite</w:t>
            </w:r>
          </w:p>
        </w:tc>
      </w:tr>
      <w:tr w:rsidR="00D24A4B" w14:paraId="530F7EF1" w14:textId="77777777" w:rsidTr="00C66137">
        <w:tc>
          <w:tcPr>
            <w:tcW w:w="8858" w:type="dxa"/>
          </w:tcPr>
          <w:p w14:paraId="5934A0F3" w14:textId="77777777" w:rsidR="00D24A4B" w:rsidRDefault="00D24A4B" w:rsidP="00C66137">
            <w:pPr>
              <w:pStyle w:val="TableText10Single"/>
            </w:pPr>
            <w:r>
              <w:t>Data Center Network Service 1 Day  Remote</w:t>
            </w:r>
          </w:p>
        </w:tc>
      </w:tr>
      <w:tr w:rsidR="00D24A4B" w14:paraId="68AE6349" w14:textId="77777777" w:rsidTr="00C66137">
        <w:tc>
          <w:tcPr>
            <w:tcW w:w="8858" w:type="dxa"/>
          </w:tcPr>
          <w:p w14:paraId="1485B646" w14:textId="77777777" w:rsidR="00D24A4B" w:rsidRDefault="00D24A4B" w:rsidP="00C66137">
            <w:pPr>
              <w:pStyle w:val="TableText10Single"/>
            </w:pPr>
            <w:r>
              <w:lastRenderedPageBreak/>
              <w:t>Data Center Network Service 1 Day  Onsite</w:t>
            </w:r>
          </w:p>
        </w:tc>
      </w:tr>
      <w:tr w:rsidR="00D24A4B" w14:paraId="48DA4B4A" w14:textId="77777777" w:rsidTr="00C66137">
        <w:tc>
          <w:tcPr>
            <w:tcW w:w="8858" w:type="dxa"/>
          </w:tcPr>
          <w:p w14:paraId="0523C8C8" w14:textId="77777777" w:rsidR="00D24A4B" w:rsidRDefault="00D24A4B" w:rsidP="00C66137">
            <w:pPr>
              <w:pStyle w:val="TableText10Single"/>
            </w:pPr>
            <w:r>
              <w:t>HPE Consulting Storage 5 Day  Onsite Service</w:t>
            </w:r>
          </w:p>
        </w:tc>
      </w:tr>
      <w:tr w:rsidR="00D24A4B" w14:paraId="5446E678" w14:textId="77777777" w:rsidTr="00C66137">
        <w:tc>
          <w:tcPr>
            <w:tcW w:w="8858" w:type="dxa"/>
            <w:tcBorders>
              <w:bottom w:val="single" w:sz="4" w:space="0" w:color="auto"/>
            </w:tcBorders>
          </w:tcPr>
          <w:p w14:paraId="79873D48" w14:textId="77777777" w:rsidR="00D24A4B" w:rsidRDefault="00D24A4B" w:rsidP="00C66137">
            <w:pPr>
              <w:pStyle w:val="TableText10Single"/>
            </w:pPr>
            <w:r>
              <w:t>HPE DCC Consulting 5 Day  Onsite Service</w:t>
            </w:r>
          </w:p>
        </w:tc>
      </w:tr>
      <w:tr w:rsidR="00D24A4B" w14:paraId="298C46C9" w14:textId="77777777" w:rsidTr="00C66137">
        <w:tc>
          <w:tcPr>
            <w:tcW w:w="8858" w:type="dxa"/>
            <w:shd w:val="clear" w:color="auto" w:fill="B1B5B7"/>
          </w:tcPr>
          <w:p w14:paraId="3F04786A" w14:textId="77777777" w:rsidR="00D24A4B" w:rsidRDefault="00D24A4B" w:rsidP="00C66137">
            <w:pPr>
              <w:pStyle w:val="TableSubheading10"/>
              <w:jc w:val="center"/>
            </w:pPr>
            <w:r>
              <w:t>Subscription Services</w:t>
            </w:r>
          </w:p>
        </w:tc>
      </w:tr>
      <w:tr w:rsidR="00D24A4B" w14:paraId="42E69D8B" w14:textId="77777777" w:rsidTr="00C66137">
        <w:tc>
          <w:tcPr>
            <w:tcW w:w="8858" w:type="dxa"/>
          </w:tcPr>
          <w:p w14:paraId="0584636A" w14:textId="77777777" w:rsidR="00D24A4B" w:rsidRDefault="00D24A4B" w:rsidP="00C66137">
            <w:pPr>
              <w:pStyle w:val="TableText10Single"/>
            </w:pPr>
            <w:r>
              <w:t>Data Profiling Service</w:t>
            </w:r>
          </w:p>
        </w:tc>
      </w:tr>
      <w:tr w:rsidR="00D24A4B" w14:paraId="61BCB491" w14:textId="77777777" w:rsidTr="00C66137">
        <w:tc>
          <w:tcPr>
            <w:tcW w:w="8858" w:type="dxa"/>
          </w:tcPr>
          <w:p w14:paraId="2436B4A4" w14:textId="77777777" w:rsidR="00D24A4B" w:rsidRDefault="00D24A4B" w:rsidP="00C66137">
            <w:pPr>
              <w:pStyle w:val="TableText10Single"/>
            </w:pPr>
            <w:r>
              <w:t>HPE Data Profil Esstl Fileblock Subs SVC</w:t>
            </w:r>
          </w:p>
        </w:tc>
      </w:tr>
      <w:tr w:rsidR="00D24A4B" w14:paraId="77A0B8FA" w14:textId="77777777" w:rsidTr="00C66137">
        <w:tc>
          <w:tcPr>
            <w:tcW w:w="8858" w:type="dxa"/>
          </w:tcPr>
          <w:p w14:paraId="1F681956" w14:textId="77777777" w:rsidR="00D24A4B" w:rsidRDefault="00D24A4B" w:rsidP="00C66137">
            <w:pPr>
              <w:pStyle w:val="TableText10Single"/>
            </w:pPr>
            <w:r>
              <w:t>HPE Data Profiling Adv for File Subs SVC</w:t>
            </w:r>
          </w:p>
        </w:tc>
      </w:tr>
      <w:tr w:rsidR="00D24A4B" w14:paraId="56B96F10" w14:textId="77777777" w:rsidTr="00C66137">
        <w:tc>
          <w:tcPr>
            <w:tcW w:w="8858" w:type="dxa"/>
          </w:tcPr>
          <w:p w14:paraId="6BE54C9F" w14:textId="77777777" w:rsidR="00D24A4B" w:rsidRDefault="00D24A4B" w:rsidP="00C66137">
            <w:pPr>
              <w:pStyle w:val="TableText10Single"/>
            </w:pPr>
            <w:r>
              <w:t>HPE Data Profil Adv File Block Subs SVC</w:t>
            </w:r>
          </w:p>
        </w:tc>
      </w:tr>
      <w:tr w:rsidR="00D24A4B" w14:paraId="0615B9FE" w14:textId="77777777" w:rsidTr="00C66137">
        <w:tc>
          <w:tcPr>
            <w:tcW w:w="8858" w:type="dxa"/>
          </w:tcPr>
          <w:p w14:paraId="22E6AA08" w14:textId="77777777" w:rsidR="00D24A4B" w:rsidRDefault="00D24A4B" w:rsidP="00C66137">
            <w:pPr>
              <w:pStyle w:val="TableText10Single"/>
            </w:pPr>
            <w:r>
              <w:t>HPE Data Profiling PRM for File Subs SVC</w:t>
            </w:r>
          </w:p>
        </w:tc>
      </w:tr>
      <w:tr w:rsidR="00D24A4B" w14:paraId="5FE75020" w14:textId="77777777" w:rsidTr="00C66137">
        <w:tc>
          <w:tcPr>
            <w:tcW w:w="8858" w:type="dxa"/>
            <w:tcBorders>
              <w:bottom w:val="single" w:sz="4" w:space="0" w:color="auto"/>
            </w:tcBorders>
          </w:tcPr>
          <w:p w14:paraId="0A8D0AE3" w14:textId="77777777" w:rsidR="00D24A4B" w:rsidRDefault="00D24A4B" w:rsidP="00C66137">
            <w:pPr>
              <w:pStyle w:val="TableText10Single"/>
            </w:pPr>
            <w:r>
              <w:t>HPE Data Profil PRM File Block Subs SVC</w:t>
            </w:r>
          </w:p>
        </w:tc>
      </w:tr>
      <w:tr w:rsidR="00D24A4B" w14:paraId="51A7E86B" w14:textId="77777777" w:rsidTr="00C66137">
        <w:tc>
          <w:tcPr>
            <w:tcW w:w="8858" w:type="dxa"/>
            <w:shd w:val="clear" w:color="auto" w:fill="B1B5B7"/>
          </w:tcPr>
          <w:p w14:paraId="47F9B52A" w14:textId="77777777" w:rsidR="00D24A4B" w:rsidRDefault="00D24A4B" w:rsidP="00C66137">
            <w:pPr>
              <w:pStyle w:val="TableSubheading10"/>
              <w:jc w:val="center"/>
            </w:pPr>
            <w:r>
              <w:t>Digital Workplace Services</w:t>
            </w:r>
          </w:p>
        </w:tc>
      </w:tr>
      <w:tr w:rsidR="00D24A4B" w14:paraId="6BB67E1C" w14:textId="77777777" w:rsidTr="00C66137">
        <w:tc>
          <w:tcPr>
            <w:tcW w:w="8858" w:type="dxa"/>
          </w:tcPr>
          <w:p w14:paraId="318C3ABF" w14:textId="77777777" w:rsidR="00D24A4B" w:rsidRDefault="00D24A4B" w:rsidP="00C66137">
            <w:pPr>
              <w:pStyle w:val="TableText10Single"/>
            </w:pPr>
            <w:r>
              <w:t>HPE Digital Wrkpl 5 Day Onsite Service</w:t>
            </w:r>
          </w:p>
        </w:tc>
      </w:tr>
      <w:tr w:rsidR="00D24A4B" w14:paraId="4D154C9F" w14:textId="77777777" w:rsidTr="00C66137">
        <w:tc>
          <w:tcPr>
            <w:tcW w:w="8858" w:type="dxa"/>
          </w:tcPr>
          <w:p w14:paraId="5310F860" w14:textId="77777777" w:rsidR="00D24A4B" w:rsidRDefault="00D24A4B" w:rsidP="00C66137">
            <w:pPr>
              <w:pStyle w:val="TableText10Single"/>
            </w:pPr>
            <w:r>
              <w:t>HPE Digital Wrkpl 1 Day Remote Service</w:t>
            </w:r>
          </w:p>
        </w:tc>
      </w:tr>
      <w:tr w:rsidR="00D24A4B" w14:paraId="5CF37F5D" w14:textId="77777777" w:rsidTr="00C66137">
        <w:tc>
          <w:tcPr>
            <w:tcW w:w="8858" w:type="dxa"/>
          </w:tcPr>
          <w:p w14:paraId="4529501F" w14:textId="77777777" w:rsidR="00D24A4B" w:rsidRDefault="00D24A4B" w:rsidP="00C66137">
            <w:pPr>
              <w:pStyle w:val="TableText10Single"/>
            </w:pPr>
            <w:r>
              <w:t>Client Virtualization, Analysis, and Modelling (CVAM) Service</w:t>
            </w:r>
          </w:p>
        </w:tc>
      </w:tr>
      <w:tr w:rsidR="00D24A4B" w14:paraId="72593D3F" w14:textId="77777777" w:rsidTr="00C66137">
        <w:tc>
          <w:tcPr>
            <w:tcW w:w="8858" w:type="dxa"/>
          </w:tcPr>
          <w:p w14:paraId="046A0548" w14:textId="77777777" w:rsidR="00D24A4B" w:rsidRDefault="00D24A4B" w:rsidP="00C66137">
            <w:pPr>
              <w:pStyle w:val="TableText10Single"/>
            </w:pPr>
            <w:r>
              <w:t>Digital Workplace (Custom Consulting)</w:t>
            </w:r>
          </w:p>
        </w:tc>
      </w:tr>
      <w:tr w:rsidR="00D24A4B" w14:paraId="720EED95" w14:textId="77777777" w:rsidTr="00C66137">
        <w:tc>
          <w:tcPr>
            <w:tcW w:w="8858" w:type="dxa"/>
          </w:tcPr>
          <w:p w14:paraId="648F8C86" w14:textId="77777777" w:rsidR="00D24A4B" w:rsidRDefault="00D24A4B" w:rsidP="00C66137">
            <w:pPr>
              <w:pStyle w:val="TableText10Single"/>
            </w:pPr>
            <w:r>
              <w:t>HPE Simplivity380 VDI St for VMware Service Option 1</w:t>
            </w:r>
          </w:p>
        </w:tc>
      </w:tr>
      <w:tr w:rsidR="00D24A4B" w14:paraId="19EA5548" w14:textId="77777777" w:rsidTr="00C66137">
        <w:tc>
          <w:tcPr>
            <w:tcW w:w="8858" w:type="dxa"/>
          </w:tcPr>
          <w:p w14:paraId="41BD6577" w14:textId="77777777" w:rsidR="00D24A4B" w:rsidRDefault="00D24A4B" w:rsidP="00C66137">
            <w:pPr>
              <w:pStyle w:val="TableText10Single"/>
            </w:pPr>
            <w:r>
              <w:t>HPE Simplivity380 VDI St for VMware Service Option 2</w:t>
            </w:r>
          </w:p>
        </w:tc>
      </w:tr>
      <w:tr w:rsidR="00D24A4B" w14:paraId="3799B4C1" w14:textId="77777777" w:rsidTr="00C66137">
        <w:tc>
          <w:tcPr>
            <w:tcW w:w="8858" w:type="dxa"/>
          </w:tcPr>
          <w:p w14:paraId="4DD676D5" w14:textId="77777777" w:rsidR="00D24A4B" w:rsidRDefault="00D24A4B" w:rsidP="00C66137">
            <w:pPr>
              <w:pStyle w:val="TableText10Single"/>
            </w:pPr>
            <w:r>
              <w:t>HPE Simplivity380 VDI St for Citrix Service</w:t>
            </w:r>
          </w:p>
        </w:tc>
      </w:tr>
      <w:tr w:rsidR="00D24A4B" w14:paraId="161AD643" w14:textId="77777777" w:rsidTr="00C66137">
        <w:tc>
          <w:tcPr>
            <w:tcW w:w="8858" w:type="dxa"/>
          </w:tcPr>
          <w:p w14:paraId="1EB80EC1" w14:textId="77777777" w:rsidR="00D24A4B" w:rsidRDefault="00D24A4B" w:rsidP="00C66137">
            <w:pPr>
              <w:pStyle w:val="TableText10Single"/>
            </w:pPr>
            <w:r>
              <w:t>HPE Simplivity380 VDI St for Citrix Service Option 1</w:t>
            </w:r>
          </w:p>
        </w:tc>
      </w:tr>
      <w:tr w:rsidR="00D24A4B" w14:paraId="2772F3C3" w14:textId="77777777" w:rsidTr="00C66137">
        <w:tc>
          <w:tcPr>
            <w:tcW w:w="8858" w:type="dxa"/>
          </w:tcPr>
          <w:p w14:paraId="1E9A7B25" w14:textId="77777777" w:rsidR="00D24A4B" w:rsidRDefault="00D24A4B" w:rsidP="00C66137">
            <w:pPr>
              <w:pStyle w:val="TableText10Single"/>
            </w:pPr>
            <w:r>
              <w:t>Exchange Upgrade Services</w:t>
            </w:r>
          </w:p>
        </w:tc>
      </w:tr>
      <w:tr w:rsidR="00D24A4B" w14:paraId="5B811CDB" w14:textId="77777777" w:rsidTr="00C66137">
        <w:tc>
          <w:tcPr>
            <w:tcW w:w="8858" w:type="dxa"/>
            <w:tcBorders>
              <w:bottom w:val="single" w:sz="4" w:space="0" w:color="auto"/>
            </w:tcBorders>
          </w:tcPr>
          <w:p w14:paraId="7FFE57F4" w14:textId="77777777" w:rsidR="00D24A4B" w:rsidRDefault="00D24A4B" w:rsidP="00C66137">
            <w:pPr>
              <w:pStyle w:val="TableText10Single"/>
            </w:pPr>
            <w:r>
              <w:t>Skype Design and Implementation Service</w:t>
            </w:r>
          </w:p>
        </w:tc>
      </w:tr>
      <w:tr w:rsidR="00D24A4B" w14:paraId="52C69734" w14:textId="77777777" w:rsidTr="00C66137">
        <w:tc>
          <w:tcPr>
            <w:tcW w:w="8858" w:type="dxa"/>
            <w:shd w:val="clear" w:color="auto" w:fill="B1B5B7"/>
          </w:tcPr>
          <w:p w14:paraId="033CE916" w14:textId="77777777" w:rsidR="00D24A4B" w:rsidRDefault="00D24A4B" w:rsidP="00C66137">
            <w:pPr>
              <w:pStyle w:val="TableSubheading10"/>
              <w:jc w:val="center"/>
            </w:pPr>
            <w:r>
              <w:t xml:space="preserve">Education Services </w:t>
            </w:r>
          </w:p>
        </w:tc>
      </w:tr>
      <w:tr w:rsidR="00D24A4B" w14:paraId="4A112773" w14:textId="77777777" w:rsidTr="00C66137">
        <w:tc>
          <w:tcPr>
            <w:tcW w:w="8858" w:type="dxa"/>
          </w:tcPr>
          <w:p w14:paraId="27A39829" w14:textId="77777777" w:rsidR="00D24A4B" w:rsidRDefault="00D24A4B" w:rsidP="00C66137">
            <w:pPr>
              <w:pStyle w:val="TableText10Single"/>
            </w:pPr>
            <w:r>
              <w:t>Technology Specific</w:t>
            </w:r>
          </w:p>
        </w:tc>
      </w:tr>
      <w:tr w:rsidR="00D24A4B" w14:paraId="54E8F0C9" w14:textId="77777777" w:rsidTr="00C66137">
        <w:tc>
          <w:tcPr>
            <w:tcW w:w="8858" w:type="dxa"/>
          </w:tcPr>
          <w:p w14:paraId="0F23365B" w14:textId="77777777" w:rsidR="00D24A4B" w:rsidRDefault="00D24A4B" w:rsidP="00C66137">
            <w:pPr>
              <w:pStyle w:val="TableText10Single"/>
            </w:pPr>
            <w:r>
              <w:t>HPE Training Credits Cloud</w:t>
            </w:r>
          </w:p>
        </w:tc>
      </w:tr>
      <w:tr w:rsidR="00D24A4B" w14:paraId="12BC02E9" w14:textId="77777777" w:rsidTr="00C66137">
        <w:tc>
          <w:tcPr>
            <w:tcW w:w="8858" w:type="dxa"/>
          </w:tcPr>
          <w:p w14:paraId="076A43E9" w14:textId="77777777" w:rsidR="00D24A4B" w:rsidRDefault="00D24A4B" w:rsidP="00C66137">
            <w:pPr>
              <w:pStyle w:val="TableText10Single"/>
            </w:pPr>
            <w:r>
              <w:t>HPE Training Credits DC Networking</w:t>
            </w:r>
          </w:p>
        </w:tc>
      </w:tr>
      <w:tr w:rsidR="00D24A4B" w14:paraId="0F1D0119" w14:textId="77777777" w:rsidTr="00C66137">
        <w:tc>
          <w:tcPr>
            <w:tcW w:w="8858" w:type="dxa"/>
          </w:tcPr>
          <w:p w14:paraId="51C86023" w14:textId="77777777" w:rsidR="00D24A4B" w:rsidRDefault="00D24A4B" w:rsidP="00C66137">
            <w:pPr>
              <w:pStyle w:val="TableText10Single"/>
            </w:pPr>
            <w:r>
              <w:t>HPE Training Credits ProLiant/Hybrid IT</w:t>
            </w:r>
          </w:p>
        </w:tc>
      </w:tr>
      <w:tr w:rsidR="00D24A4B" w14:paraId="6A61B1E6" w14:textId="77777777" w:rsidTr="00C66137">
        <w:tc>
          <w:tcPr>
            <w:tcW w:w="8858" w:type="dxa"/>
          </w:tcPr>
          <w:p w14:paraId="66BFE283" w14:textId="77777777" w:rsidR="00D24A4B" w:rsidRDefault="00D24A4B" w:rsidP="00C66137">
            <w:pPr>
              <w:pStyle w:val="TableText10Single"/>
            </w:pPr>
            <w:r>
              <w:t>HPE Training Credits Storage</w:t>
            </w:r>
          </w:p>
        </w:tc>
      </w:tr>
      <w:tr w:rsidR="00D24A4B" w14:paraId="3B5C44B2" w14:textId="77777777" w:rsidTr="00C66137">
        <w:tc>
          <w:tcPr>
            <w:tcW w:w="8858" w:type="dxa"/>
          </w:tcPr>
          <w:p w14:paraId="40F2BD7D" w14:textId="77777777" w:rsidR="00D24A4B" w:rsidRDefault="00D24A4B" w:rsidP="00C66137">
            <w:pPr>
              <w:pStyle w:val="TableText10Single"/>
            </w:pPr>
            <w:r>
              <w:t>HPE Training Credits Vmware</w:t>
            </w:r>
          </w:p>
        </w:tc>
      </w:tr>
      <w:tr w:rsidR="00D24A4B" w14:paraId="489E3FB8" w14:textId="77777777" w:rsidTr="00C66137">
        <w:tc>
          <w:tcPr>
            <w:tcW w:w="8858" w:type="dxa"/>
          </w:tcPr>
          <w:p w14:paraId="5DC423CC" w14:textId="77777777" w:rsidR="00D24A4B" w:rsidRDefault="00D24A4B" w:rsidP="00C66137">
            <w:pPr>
              <w:pStyle w:val="TableText10Single"/>
            </w:pPr>
            <w:r>
              <w:t>HPE Total Education One Monetary Training Credits</w:t>
            </w:r>
          </w:p>
        </w:tc>
      </w:tr>
      <w:tr w:rsidR="00D24A4B" w14:paraId="55B73AAE" w14:textId="77777777" w:rsidTr="00C66137">
        <w:tc>
          <w:tcPr>
            <w:tcW w:w="8858" w:type="dxa"/>
          </w:tcPr>
          <w:p w14:paraId="79FF6449" w14:textId="77777777" w:rsidR="00D24A4B" w:rsidRDefault="00D24A4B" w:rsidP="00C66137">
            <w:pPr>
              <w:pStyle w:val="TableText10Single"/>
            </w:pPr>
            <w:r>
              <w:t>HPE Education Consulting 5 day Onsite Service</w:t>
            </w:r>
          </w:p>
        </w:tc>
      </w:tr>
      <w:tr w:rsidR="00D24A4B" w14:paraId="1AA489A7" w14:textId="77777777" w:rsidTr="00C66137">
        <w:tc>
          <w:tcPr>
            <w:tcW w:w="8858" w:type="dxa"/>
            <w:tcBorders>
              <w:bottom w:val="single" w:sz="4" w:space="0" w:color="auto"/>
            </w:tcBorders>
          </w:tcPr>
          <w:p w14:paraId="71531048" w14:textId="77777777" w:rsidR="00D24A4B" w:rsidRDefault="00D24A4B" w:rsidP="00C66137">
            <w:pPr>
              <w:pStyle w:val="TableText10Single"/>
            </w:pPr>
            <w:r>
              <w:t>HPE Management of Change Advisor Service</w:t>
            </w:r>
          </w:p>
        </w:tc>
      </w:tr>
      <w:tr w:rsidR="00D24A4B" w14:paraId="2E556D7E" w14:textId="77777777" w:rsidTr="00C66137">
        <w:tc>
          <w:tcPr>
            <w:tcW w:w="8858" w:type="dxa"/>
            <w:shd w:val="clear" w:color="auto" w:fill="B1B5B7"/>
          </w:tcPr>
          <w:p w14:paraId="354189EF" w14:textId="77777777" w:rsidR="00D24A4B" w:rsidRDefault="00D24A4B" w:rsidP="00C66137">
            <w:pPr>
              <w:pStyle w:val="TableSubheading10"/>
              <w:jc w:val="center"/>
            </w:pPr>
            <w:r>
              <w:t xml:space="preserve">Advisory &amp; Professional Services Credits </w:t>
            </w:r>
          </w:p>
        </w:tc>
      </w:tr>
      <w:tr w:rsidR="00D24A4B" w14:paraId="6E35BC85" w14:textId="77777777" w:rsidTr="00C66137">
        <w:tc>
          <w:tcPr>
            <w:tcW w:w="8858" w:type="dxa"/>
          </w:tcPr>
          <w:p w14:paraId="1E56422F" w14:textId="77777777" w:rsidR="00D24A4B" w:rsidRDefault="00D24A4B" w:rsidP="00C66137">
            <w:pPr>
              <w:pStyle w:val="TableText10Single"/>
            </w:pPr>
            <w:r>
              <w:t>HPE 1Y TS Support Credits 10 Per Yr SVC - BCS</w:t>
            </w:r>
          </w:p>
        </w:tc>
      </w:tr>
      <w:tr w:rsidR="00D24A4B" w14:paraId="4E0978DC" w14:textId="77777777" w:rsidTr="00C66137">
        <w:tc>
          <w:tcPr>
            <w:tcW w:w="8858" w:type="dxa"/>
          </w:tcPr>
          <w:p w14:paraId="1E8E240B" w14:textId="77777777" w:rsidR="00D24A4B" w:rsidRDefault="00D24A4B" w:rsidP="00C66137">
            <w:pPr>
              <w:pStyle w:val="TableText10Single"/>
            </w:pPr>
            <w:r>
              <w:t>HPE 3Y TS Support Credits 10 Per Yr SVC - BCS</w:t>
            </w:r>
          </w:p>
        </w:tc>
      </w:tr>
      <w:tr w:rsidR="00D24A4B" w14:paraId="1523B543" w14:textId="77777777" w:rsidTr="00C66137">
        <w:tc>
          <w:tcPr>
            <w:tcW w:w="8858" w:type="dxa"/>
          </w:tcPr>
          <w:p w14:paraId="5C6E78F8" w14:textId="77777777" w:rsidR="00D24A4B" w:rsidRDefault="00D24A4B" w:rsidP="00C66137">
            <w:pPr>
              <w:pStyle w:val="TableText10Single"/>
            </w:pPr>
            <w:r>
              <w:t>HPE 4Y TS Support Credits 10 Per Yr SVC - BCS</w:t>
            </w:r>
          </w:p>
        </w:tc>
      </w:tr>
      <w:tr w:rsidR="00D24A4B" w14:paraId="54323D92" w14:textId="77777777" w:rsidTr="00C66137">
        <w:tc>
          <w:tcPr>
            <w:tcW w:w="8858" w:type="dxa"/>
          </w:tcPr>
          <w:p w14:paraId="15ED85C9" w14:textId="77777777" w:rsidR="00D24A4B" w:rsidRDefault="00D24A4B" w:rsidP="00C66137">
            <w:pPr>
              <w:pStyle w:val="TableText10Single"/>
            </w:pPr>
            <w:r>
              <w:t>HPE 5Y TS Support Credits 10 Per Yr SVC - BCS</w:t>
            </w:r>
          </w:p>
        </w:tc>
      </w:tr>
      <w:tr w:rsidR="00D24A4B" w14:paraId="53E0208A" w14:textId="77777777" w:rsidTr="00C66137">
        <w:tc>
          <w:tcPr>
            <w:tcW w:w="8858" w:type="dxa"/>
          </w:tcPr>
          <w:p w14:paraId="2670E3CE" w14:textId="77777777" w:rsidR="00D24A4B" w:rsidRDefault="00D24A4B" w:rsidP="00C66137">
            <w:pPr>
              <w:pStyle w:val="TableText10Single"/>
            </w:pPr>
            <w:r>
              <w:t>HPE 1Y TS Support Credits 30 Per Yr SVC - BCS</w:t>
            </w:r>
          </w:p>
        </w:tc>
      </w:tr>
      <w:tr w:rsidR="00D24A4B" w14:paraId="239026CB" w14:textId="77777777" w:rsidTr="00C66137">
        <w:tc>
          <w:tcPr>
            <w:tcW w:w="8858" w:type="dxa"/>
          </w:tcPr>
          <w:p w14:paraId="584D2BA4" w14:textId="77777777" w:rsidR="00D24A4B" w:rsidRDefault="00D24A4B" w:rsidP="00C66137">
            <w:pPr>
              <w:pStyle w:val="TableText10Single"/>
            </w:pPr>
            <w:r>
              <w:t>HPE 3Y TS Support Credits 30 Per Yr SVC - BCS</w:t>
            </w:r>
          </w:p>
        </w:tc>
      </w:tr>
      <w:tr w:rsidR="00D24A4B" w14:paraId="16BFE567" w14:textId="77777777" w:rsidTr="00C66137">
        <w:tc>
          <w:tcPr>
            <w:tcW w:w="8858" w:type="dxa"/>
          </w:tcPr>
          <w:p w14:paraId="6C2D0905" w14:textId="77777777" w:rsidR="00D24A4B" w:rsidRDefault="00D24A4B" w:rsidP="00C66137">
            <w:pPr>
              <w:pStyle w:val="TableText10Single"/>
            </w:pPr>
            <w:r>
              <w:t>HPE 4Y TS Support Credits 30 Per Yr SVC - BCS</w:t>
            </w:r>
          </w:p>
        </w:tc>
      </w:tr>
      <w:tr w:rsidR="00D24A4B" w14:paraId="05F880D0" w14:textId="77777777" w:rsidTr="00C66137">
        <w:tc>
          <w:tcPr>
            <w:tcW w:w="8858" w:type="dxa"/>
          </w:tcPr>
          <w:p w14:paraId="5AD05923" w14:textId="77777777" w:rsidR="00D24A4B" w:rsidRDefault="00D24A4B" w:rsidP="00C66137">
            <w:pPr>
              <w:pStyle w:val="TableText10Single"/>
            </w:pPr>
            <w:r>
              <w:lastRenderedPageBreak/>
              <w:t>HPE 5Y TS Support Credits 30 Per Yr SVC - BCS</w:t>
            </w:r>
          </w:p>
        </w:tc>
      </w:tr>
      <w:tr w:rsidR="00D24A4B" w14:paraId="2666B545" w14:textId="77777777" w:rsidTr="00C66137">
        <w:tc>
          <w:tcPr>
            <w:tcW w:w="8858" w:type="dxa"/>
          </w:tcPr>
          <w:p w14:paraId="29727106" w14:textId="77777777" w:rsidR="00D24A4B" w:rsidRDefault="00D24A4B" w:rsidP="00C66137">
            <w:pPr>
              <w:pStyle w:val="TableText10Single"/>
            </w:pPr>
            <w:r>
              <w:t>HPE 1Y TS Support Credits 10 Per Yr SVC - ISS</w:t>
            </w:r>
          </w:p>
        </w:tc>
      </w:tr>
      <w:tr w:rsidR="00D24A4B" w14:paraId="64721775" w14:textId="77777777" w:rsidTr="00C66137">
        <w:tc>
          <w:tcPr>
            <w:tcW w:w="8858" w:type="dxa"/>
          </w:tcPr>
          <w:p w14:paraId="4D44D37C" w14:textId="77777777" w:rsidR="00D24A4B" w:rsidRDefault="00D24A4B" w:rsidP="00C66137">
            <w:pPr>
              <w:pStyle w:val="TableText10Single"/>
            </w:pPr>
            <w:r>
              <w:t>HPE 3Y TS Support Credits 10 Per Yr SVC - ISS</w:t>
            </w:r>
          </w:p>
        </w:tc>
      </w:tr>
      <w:tr w:rsidR="00D24A4B" w14:paraId="3CB402CF" w14:textId="77777777" w:rsidTr="00C66137">
        <w:tc>
          <w:tcPr>
            <w:tcW w:w="8858" w:type="dxa"/>
          </w:tcPr>
          <w:p w14:paraId="07FAD46D" w14:textId="77777777" w:rsidR="00D24A4B" w:rsidRDefault="00D24A4B" w:rsidP="00C66137">
            <w:pPr>
              <w:pStyle w:val="TableText10Single"/>
            </w:pPr>
            <w:r>
              <w:t>HPE 4Y TS Support Credits 10 Per Yr SVC - ISS</w:t>
            </w:r>
          </w:p>
        </w:tc>
      </w:tr>
      <w:tr w:rsidR="00D24A4B" w14:paraId="09582CC6" w14:textId="77777777" w:rsidTr="00C66137">
        <w:tc>
          <w:tcPr>
            <w:tcW w:w="8858" w:type="dxa"/>
          </w:tcPr>
          <w:p w14:paraId="60DC954A" w14:textId="77777777" w:rsidR="00D24A4B" w:rsidRDefault="00D24A4B" w:rsidP="00C66137">
            <w:pPr>
              <w:pStyle w:val="TableText10Single"/>
            </w:pPr>
            <w:r>
              <w:t>HPE 5Y TS Support Credits 10 Per Yr SVC - ISS</w:t>
            </w:r>
          </w:p>
        </w:tc>
      </w:tr>
      <w:tr w:rsidR="00D24A4B" w14:paraId="08625EA9" w14:textId="77777777" w:rsidTr="00C66137">
        <w:tc>
          <w:tcPr>
            <w:tcW w:w="8858" w:type="dxa"/>
          </w:tcPr>
          <w:p w14:paraId="16BA6932" w14:textId="77777777" w:rsidR="00D24A4B" w:rsidRDefault="00D24A4B" w:rsidP="00C66137">
            <w:pPr>
              <w:pStyle w:val="TableText10Single"/>
            </w:pPr>
            <w:r>
              <w:t>HPE 1Y TS Support Credits 30 Per Yr SVC - ISS</w:t>
            </w:r>
          </w:p>
        </w:tc>
      </w:tr>
      <w:tr w:rsidR="00D24A4B" w14:paraId="74CBE9F0" w14:textId="77777777" w:rsidTr="00C66137">
        <w:tc>
          <w:tcPr>
            <w:tcW w:w="8858" w:type="dxa"/>
          </w:tcPr>
          <w:p w14:paraId="40D6356A" w14:textId="77777777" w:rsidR="00D24A4B" w:rsidRDefault="00D24A4B" w:rsidP="00C66137">
            <w:pPr>
              <w:pStyle w:val="TableText10Single"/>
            </w:pPr>
            <w:r>
              <w:t>HPE 3Y TS Support Credits 30 Per Yr SVC - ISS</w:t>
            </w:r>
          </w:p>
        </w:tc>
      </w:tr>
      <w:tr w:rsidR="00D24A4B" w14:paraId="55330B25" w14:textId="77777777" w:rsidTr="00C66137">
        <w:tc>
          <w:tcPr>
            <w:tcW w:w="8858" w:type="dxa"/>
          </w:tcPr>
          <w:p w14:paraId="4DDA9280" w14:textId="77777777" w:rsidR="00D24A4B" w:rsidRDefault="00D24A4B" w:rsidP="00C66137">
            <w:pPr>
              <w:pStyle w:val="TableText10Single"/>
            </w:pPr>
            <w:r>
              <w:t>HPE 4Y TS Support Credits 30 Per Yr SVC - ISS</w:t>
            </w:r>
          </w:p>
        </w:tc>
      </w:tr>
      <w:tr w:rsidR="00D24A4B" w14:paraId="76F978AD" w14:textId="77777777" w:rsidTr="00C66137">
        <w:tc>
          <w:tcPr>
            <w:tcW w:w="8858" w:type="dxa"/>
          </w:tcPr>
          <w:p w14:paraId="223F71B2" w14:textId="77777777" w:rsidR="00D24A4B" w:rsidRDefault="00D24A4B" w:rsidP="00C66137">
            <w:pPr>
              <w:pStyle w:val="TableText10Single"/>
            </w:pPr>
            <w:r>
              <w:t>HPE 5Y TS Support Credits 30 Per Yr SVC - ISS</w:t>
            </w:r>
          </w:p>
        </w:tc>
      </w:tr>
      <w:tr w:rsidR="00D24A4B" w14:paraId="5D76854D" w14:textId="77777777" w:rsidTr="00C66137">
        <w:tc>
          <w:tcPr>
            <w:tcW w:w="8858" w:type="dxa"/>
          </w:tcPr>
          <w:p w14:paraId="5B977BD5" w14:textId="77777777" w:rsidR="00D24A4B" w:rsidRDefault="00D24A4B" w:rsidP="00C66137">
            <w:pPr>
              <w:pStyle w:val="TableText10Single"/>
            </w:pPr>
            <w:r>
              <w:t>HPE 1Y TS Support Credits 10 Per Yr SVC - Storage</w:t>
            </w:r>
          </w:p>
        </w:tc>
      </w:tr>
      <w:tr w:rsidR="00D24A4B" w14:paraId="302173EA" w14:textId="77777777" w:rsidTr="00C66137">
        <w:tc>
          <w:tcPr>
            <w:tcW w:w="8858" w:type="dxa"/>
          </w:tcPr>
          <w:p w14:paraId="26E4BC88" w14:textId="77777777" w:rsidR="00D24A4B" w:rsidRDefault="00D24A4B" w:rsidP="00C66137">
            <w:pPr>
              <w:pStyle w:val="TableText10Single"/>
            </w:pPr>
            <w:r>
              <w:t>HPE 3Y TS Support Credits 10 Per Yr SVC - Storage</w:t>
            </w:r>
          </w:p>
        </w:tc>
      </w:tr>
      <w:tr w:rsidR="00D24A4B" w14:paraId="610B888C" w14:textId="77777777" w:rsidTr="00C66137">
        <w:tc>
          <w:tcPr>
            <w:tcW w:w="8858" w:type="dxa"/>
          </w:tcPr>
          <w:p w14:paraId="0E68AEEE" w14:textId="77777777" w:rsidR="00D24A4B" w:rsidRDefault="00D24A4B" w:rsidP="00C66137">
            <w:pPr>
              <w:pStyle w:val="TableText10Single"/>
            </w:pPr>
            <w:r>
              <w:t>HPE 4Y TS Support Credits 10 Per Yr SVC - Storage</w:t>
            </w:r>
          </w:p>
        </w:tc>
      </w:tr>
      <w:tr w:rsidR="00D24A4B" w14:paraId="2A6504EF" w14:textId="77777777" w:rsidTr="00C66137">
        <w:tc>
          <w:tcPr>
            <w:tcW w:w="8858" w:type="dxa"/>
          </w:tcPr>
          <w:p w14:paraId="12824385" w14:textId="77777777" w:rsidR="00D24A4B" w:rsidRDefault="00D24A4B" w:rsidP="00C66137">
            <w:pPr>
              <w:pStyle w:val="TableText10Single"/>
            </w:pPr>
            <w:r>
              <w:t>HPE 5Y TS Support Credits 10 Per Yr SVC - Storage</w:t>
            </w:r>
          </w:p>
        </w:tc>
      </w:tr>
      <w:tr w:rsidR="00D24A4B" w14:paraId="09CDC58D" w14:textId="77777777" w:rsidTr="00C66137">
        <w:tc>
          <w:tcPr>
            <w:tcW w:w="8858" w:type="dxa"/>
          </w:tcPr>
          <w:p w14:paraId="007B0079" w14:textId="77777777" w:rsidR="00D24A4B" w:rsidRDefault="00D24A4B" w:rsidP="00C66137">
            <w:pPr>
              <w:pStyle w:val="TableText10Single"/>
            </w:pPr>
            <w:r>
              <w:t>HPE 1Y TS Support Credits 30 Per Yr SVC - Storage</w:t>
            </w:r>
          </w:p>
        </w:tc>
      </w:tr>
      <w:tr w:rsidR="00D24A4B" w14:paraId="15856EB6" w14:textId="77777777" w:rsidTr="00C66137">
        <w:tc>
          <w:tcPr>
            <w:tcW w:w="8858" w:type="dxa"/>
          </w:tcPr>
          <w:p w14:paraId="3620706A" w14:textId="77777777" w:rsidR="00D24A4B" w:rsidRDefault="00D24A4B" w:rsidP="00C66137">
            <w:pPr>
              <w:pStyle w:val="TableText10Single"/>
            </w:pPr>
            <w:r>
              <w:t>HPE 3Y TS Support Credits 30 Per Yr SVC - Storage</w:t>
            </w:r>
          </w:p>
        </w:tc>
      </w:tr>
      <w:tr w:rsidR="00D24A4B" w14:paraId="61A6CB3E" w14:textId="77777777" w:rsidTr="00C66137">
        <w:tc>
          <w:tcPr>
            <w:tcW w:w="8858" w:type="dxa"/>
          </w:tcPr>
          <w:p w14:paraId="3AF4EFF8" w14:textId="77777777" w:rsidR="00D24A4B" w:rsidRDefault="00D24A4B" w:rsidP="00C66137">
            <w:pPr>
              <w:pStyle w:val="TableText10Single"/>
            </w:pPr>
            <w:r>
              <w:t>HPE 4Y TS Support Credits 30 Per Yr SVC - Storage</w:t>
            </w:r>
          </w:p>
        </w:tc>
      </w:tr>
      <w:tr w:rsidR="00D24A4B" w14:paraId="02EA3A96" w14:textId="77777777" w:rsidTr="00C66137">
        <w:tc>
          <w:tcPr>
            <w:tcW w:w="8858" w:type="dxa"/>
          </w:tcPr>
          <w:p w14:paraId="56CFF4AB" w14:textId="77777777" w:rsidR="00D24A4B" w:rsidRDefault="00D24A4B" w:rsidP="00C66137">
            <w:pPr>
              <w:pStyle w:val="TableText10Single"/>
            </w:pPr>
            <w:r>
              <w:t>HPE 5Y TS Support Credits 30 Per Yr SVC - Storage</w:t>
            </w:r>
          </w:p>
        </w:tc>
      </w:tr>
      <w:tr w:rsidR="00D24A4B" w14:paraId="2D60B342" w14:textId="77777777" w:rsidTr="00C66137">
        <w:tc>
          <w:tcPr>
            <w:tcW w:w="8858" w:type="dxa"/>
          </w:tcPr>
          <w:p w14:paraId="6ED646A2" w14:textId="77777777" w:rsidR="00D24A4B" w:rsidRDefault="00D24A4B" w:rsidP="00C66137">
            <w:pPr>
              <w:pStyle w:val="TableText10Single"/>
            </w:pPr>
            <w:r>
              <w:t>HPE 1Y TS Support Credits 10 Per Yr SVC - Network</w:t>
            </w:r>
          </w:p>
        </w:tc>
      </w:tr>
      <w:tr w:rsidR="00D24A4B" w14:paraId="64B895C9" w14:textId="77777777" w:rsidTr="00C66137">
        <w:tc>
          <w:tcPr>
            <w:tcW w:w="8858" w:type="dxa"/>
          </w:tcPr>
          <w:p w14:paraId="71C9C5DD" w14:textId="77777777" w:rsidR="00D24A4B" w:rsidRDefault="00D24A4B" w:rsidP="00C66137">
            <w:pPr>
              <w:pStyle w:val="TableText10Single"/>
            </w:pPr>
            <w:r>
              <w:t>HPE 3Y TS Support Credits 10 Per Yr SVC - Network</w:t>
            </w:r>
          </w:p>
        </w:tc>
      </w:tr>
      <w:tr w:rsidR="00D24A4B" w14:paraId="6350BE85" w14:textId="77777777" w:rsidTr="00C66137">
        <w:tc>
          <w:tcPr>
            <w:tcW w:w="8858" w:type="dxa"/>
          </w:tcPr>
          <w:p w14:paraId="18572C72" w14:textId="77777777" w:rsidR="00D24A4B" w:rsidRDefault="00D24A4B" w:rsidP="00C66137">
            <w:pPr>
              <w:pStyle w:val="TableText10Single"/>
            </w:pPr>
            <w:r>
              <w:t>HPE 4Y TS Support Credits 10 Per Yr SVC - Network</w:t>
            </w:r>
          </w:p>
        </w:tc>
      </w:tr>
      <w:tr w:rsidR="00D24A4B" w14:paraId="2E564F2F" w14:textId="77777777" w:rsidTr="00C66137">
        <w:tc>
          <w:tcPr>
            <w:tcW w:w="8858" w:type="dxa"/>
          </w:tcPr>
          <w:p w14:paraId="2BA9DB7F" w14:textId="77777777" w:rsidR="00D24A4B" w:rsidRDefault="00D24A4B" w:rsidP="00C66137">
            <w:pPr>
              <w:pStyle w:val="TableText10Single"/>
            </w:pPr>
            <w:r>
              <w:t>HPE 5Y TS Support Credits 10 Per Yr SVC - Network</w:t>
            </w:r>
          </w:p>
        </w:tc>
      </w:tr>
      <w:tr w:rsidR="00D24A4B" w14:paraId="6F954679" w14:textId="77777777" w:rsidTr="00C66137">
        <w:tc>
          <w:tcPr>
            <w:tcW w:w="8858" w:type="dxa"/>
          </w:tcPr>
          <w:p w14:paraId="402892D2" w14:textId="77777777" w:rsidR="00D24A4B" w:rsidRDefault="00D24A4B" w:rsidP="00C66137">
            <w:pPr>
              <w:pStyle w:val="TableText10Single"/>
            </w:pPr>
            <w:r>
              <w:t>HPE 1Y TS Support Credits 30 Per Yr SVC - Network</w:t>
            </w:r>
          </w:p>
        </w:tc>
      </w:tr>
      <w:tr w:rsidR="00D24A4B" w14:paraId="1B3FB576" w14:textId="77777777" w:rsidTr="00C66137">
        <w:tc>
          <w:tcPr>
            <w:tcW w:w="8858" w:type="dxa"/>
            <w:tcBorders>
              <w:bottom w:val="single" w:sz="4" w:space="0" w:color="auto"/>
            </w:tcBorders>
          </w:tcPr>
          <w:p w14:paraId="4CBD7509" w14:textId="77777777" w:rsidR="00D24A4B" w:rsidRDefault="00D24A4B" w:rsidP="00C66137">
            <w:pPr>
              <w:pStyle w:val="TableText10Single"/>
            </w:pPr>
            <w:r>
              <w:t>HPE 3Y TS Support Credits 30 Per Yr SVC - Network</w:t>
            </w:r>
          </w:p>
        </w:tc>
      </w:tr>
      <w:tr w:rsidR="00D24A4B" w14:paraId="70A914E3" w14:textId="77777777" w:rsidTr="00C66137">
        <w:tc>
          <w:tcPr>
            <w:tcW w:w="8858" w:type="dxa"/>
            <w:shd w:val="clear" w:color="auto" w:fill="B1B5B7"/>
          </w:tcPr>
          <w:p w14:paraId="76212583" w14:textId="77777777" w:rsidR="00D24A4B" w:rsidRDefault="00D24A4B" w:rsidP="00C66137">
            <w:pPr>
              <w:pStyle w:val="TableSubheading10"/>
              <w:jc w:val="center"/>
            </w:pPr>
            <w:r>
              <w:t>Hybrid IT Services</w:t>
            </w:r>
          </w:p>
        </w:tc>
      </w:tr>
      <w:tr w:rsidR="00D24A4B" w14:paraId="299FA225" w14:textId="77777777" w:rsidTr="00C66137">
        <w:tc>
          <w:tcPr>
            <w:tcW w:w="8858" w:type="dxa"/>
          </w:tcPr>
          <w:p w14:paraId="219343E0" w14:textId="77777777" w:rsidR="00D24A4B" w:rsidRDefault="00D24A4B" w:rsidP="00C66137">
            <w:pPr>
              <w:pStyle w:val="TableText10Single"/>
            </w:pPr>
            <w:r>
              <w:t>HPE Rapid Advisory Service for Synergy</w:t>
            </w:r>
          </w:p>
        </w:tc>
      </w:tr>
      <w:tr w:rsidR="00D24A4B" w14:paraId="12F69BDB" w14:textId="77777777" w:rsidTr="00C66137">
        <w:tc>
          <w:tcPr>
            <w:tcW w:w="8858" w:type="dxa"/>
          </w:tcPr>
          <w:p w14:paraId="6C1C4100" w14:textId="77777777" w:rsidR="00D24A4B" w:rsidRDefault="00D24A4B" w:rsidP="00C66137">
            <w:pPr>
              <w:pStyle w:val="TableText10Single"/>
            </w:pPr>
            <w:r>
              <w:t>HPE Infrastructure as Code for Synergy</w:t>
            </w:r>
          </w:p>
        </w:tc>
      </w:tr>
      <w:tr w:rsidR="00D24A4B" w14:paraId="5860CC8A" w14:textId="77777777" w:rsidTr="00C66137">
        <w:tc>
          <w:tcPr>
            <w:tcW w:w="8858" w:type="dxa"/>
          </w:tcPr>
          <w:p w14:paraId="19C5E7F8" w14:textId="77777777" w:rsidR="00D24A4B" w:rsidRDefault="00D24A4B" w:rsidP="00C66137">
            <w:pPr>
              <w:pStyle w:val="TableText10Single"/>
            </w:pPr>
            <w:r>
              <w:t>HPE OneView Implementation Service</w:t>
            </w:r>
          </w:p>
        </w:tc>
      </w:tr>
      <w:tr w:rsidR="00D24A4B" w14:paraId="0167BDB7" w14:textId="77777777" w:rsidTr="00C66137">
        <w:tc>
          <w:tcPr>
            <w:tcW w:w="8858" w:type="dxa"/>
          </w:tcPr>
          <w:p w14:paraId="1493B3DC" w14:textId="77777777" w:rsidR="00D24A4B" w:rsidRDefault="00D24A4B" w:rsidP="00C66137">
            <w:pPr>
              <w:pStyle w:val="TableText10Single"/>
            </w:pPr>
            <w:r>
              <w:t>HPE Image Stream Implementation Service</w:t>
            </w:r>
          </w:p>
        </w:tc>
      </w:tr>
      <w:tr w:rsidR="00D24A4B" w14:paraId="22976274" w14:textId="77777777" w:rsidTr="00C66137">
        <w:tc>
          <w:tcPr>
            <w:tcW w:w="8858" w:type="dxa"/>
          </w:tcPr>
          <w:p w14:paraId="03E5D134" w14:textId="77777777" w:rsidR="00D24A4B" w:rsidRDefault="00D24A4B" w:rsidP="00C66137">
            <w:pPr>
              <w:pStyle w:val="TableText10Single"/>
            </w:pPr>
            <w:r>
              <w:t>HPE Synergy First Frame Startup Service</w:t>
            </w:r>
          </w:p>
        </w:tc>
      </w:tr>
      <w:tr w:rsidR="00D24A4B" w14:paraId="791C14D4" w14:textId="77777777" w:rsidTr="00C66137">
        <w:tc>
          <w:tcPr>
            <w:tcW w:w="8858" w:type="dxa"/>
          </w:tcPr>
          <w:p w14:paraId="24A8C1B5" w14:textId="77777777" w:rsidR="00D24A4B" w:rsidRDefault="00D24A4B" w:rsidP="00C66137">
            <w:pPr>
              <w:pStyle w:val="TableText10Single"/>
            </w:pPr>
            <w:r>
              <w:t>HPE Synergy Additional Frame Startup Service</w:t>
            </w:r>
          </w:p>
        </w:tc>
      </w:tr>
      <w:tr w:rsidR="00D24A4B" w14:paraId="5D81C9E6" w14:textId="77777777" w:rsidTr="00C66137">
        <w:tc>
          <w:tcPr>
            <w:tcW w:w="8858" w:type="dxa"/>
          </w:tcPr>
          <w:p w14:paraId="455809EE" w14:textId="77777777" w:rsidR="00D24A4B" w:rsidRDefault="00D24A4B" w:rsidP="00C66137">
            <w:pPr>
              <w:pStyle w:val="TableText10Single"/>
            </w:pPr>
            <w:r>
              <w:t>HPE Factory Express Services for Synergy - Initial Frame</w:t>
            </w:r>
          </w:p>
        </w:tc>
      </w:tr>
      <w:tr w:rsidR="00D24A4B" w14:paraId="35FFC275" w14:textId="77777777" w:rsidTr="00C66137">
        <w:tc>
          <w:tcPr>
            <w:tcW w:w="8858" w:type="dxa"/>
          </w:tcPr>
          <w:p w14:paraId="572B5F9C" w14:textId="77777777" w:rsidR="00D24A4B" w:rsidRDefault="00D24A4B" w:rsidP="00C66137">
            <w:pPr>
              <w:pStyle w:val="TableText10Single"/>
            </w:pPr>
            <w:r>
              <w:t>HPE Factory Express Services for Synergy - Add-on Frame</w:t>
            </w:r>
          </w:p>
        </w:tc>
      </w:tr>
      <w:tr w:rsidR="00D24A4B" w14:paraId="6C6E5C83" w14:textId="77777777" w:rsidTr="00C66137">
        <w:tc>
          <w:tcPr>
            <w:tcW w:w="8858" w:type="dxa"/>
          </w:tcPr>
          <w:p w14:paraId="2FD3D3BA" w14:textId="77777777" w:rsidR="00D24A4B" w:rsidRDefault="00D24A4B" w:rsidP="00C66137">
            <w:pPr>
              <w:pStyle w:val="TableText10Single"/>
            </w:pPr>
            <w:r>
              <w:t>HPE Factory Express Services for Synergy - Initial Consulting</w:t>
            </w:r>
          </w:p>
        </w:tc>
      </w:tr>
      <w:tr w:rsidR="00D24A4B" w14:paraId="0AB54227" w14:textId="77777777" w:rsidTr="00C66137">
        <w:tc>
          <w:tcPr>
            <w:tcW w:w="8858" w:type="dxa"/>
            <w:tcBorders>
              <w:bottom w:val="single" w:sz="4" w:space="0" w:color="auto"/>
            </w:tcBorders>
          </w:tcPr>
          <w:p w14:paraId="60DFF48A" w14:textId="77777777" w:rsidR="00D24A4B" w:rsidRDefault="00D24A4B" w:rsidP="00C66137">
            <w:pPr>
              <w:pStyle w:val="TableText10Single"/>
            </w:pPr>
            <w:r>
              <w:t>HPE  Training Credits for ProLiant/HybridIT Services</w:t>
            </w:r>
          </w:p>
        </w:tc>
      </w:tr>
      <w:tr w:rsidR="00D24A4B" w14:paraId="2CBC5804" w14:textId="77777777" w:rsidTr="00C66137">
        <w:tc>
          <w:tcPr>
            <w:tcW w:w="8858" w:type="dxa"/>
            <w:shd w:val="clear" w:color="auto" w:fill="B1B5B7"/>
          </w:tcPr>
          <w:p w14:paraId="66B79AD9" w14:textId="77777777" w:rsidR="00D24A4B" w:rsidRDefault="00D24A4B" w:rsidP="00C66137">
            <w:pPr>
              <w:pStyle w:val="TableSubheading10"/>
              <w:jc w:val="center"/>
            </w:pPr>
            <w:r>
              <w:t xml:space="preserve">Storage Services </w:t>
            </w:r>
          </w:p>
        </w:tc>
      </w:tr>
      <w:tr w:rsidR="00D24A4B" w14:paraId="40876935" w14:textId="77777777" w:rsidTr="00C66137">
        <w:tc>
          <w:tcPr>
            <w:tcW w:w="8858" w:type="dxa"/>
          </w:tcPr>
          <w:p w14:paraId="50895B7B" w14:textId="77777777" w:rsidR="00D24A4B" w:rsidRDefault="00D24A4B" w:rsidP="00C66137">
            <w:pPr>
              <w:pStyle w:val="TableText10Single"/>
            </w:pPr>
            <w:r>
              <w:t>HPE Consulting Storage 5 Day  Onsite Service</w:t>
            </w:r>
          </w:p>
        </w:tc>
      </w:tr>
      <w:tr w:rsidR="00D24A4B" w14:paraId="7F99D147" w14:textId="77777777" w:rsidTr="00C66137">
        <w:tc>
          <w:tcPr>
            <w:tcW w:w="8858" w:type="dxa"/>
          </w:tcPr>
          <w:p w14:paraId="25DBE2D5" w14:textId="77777777" w:rsidR="00D24A4B" w:rsidRDefault="00D24A4B" w:rsidP="00C66137">
            <w:pPr>
              <w:pStyle w:val="TableText10Single"/>
            </w:pPr>
            <w:r>
              <w:t>HPE Big Data Consulting 5 Day Service</w:t>
            </w:r>
          </w:p>
        </w:tc>
      </w:tr>
      <w:tr w:rsidR="00D24A4B" w14:paraId="2310382E" w14:textId="77777777" w:rsidTr="00C66137">
        <w:tc>
          <w:tcPr>
            <w:tcW w:w="8858" w:type="dxa"/>
          </w:tcPr>
          <w:p w14:paraId="4AFE9112" w14:textId="77777777" w:rsidR="00D24A4B" w:rsidRDefault="00D24A4B" w:rsidP="00C66137">
            <w:pPr>
              <w:pStyle w:val="TableText10Single"/>
            </w:pPr>
            <w:r>
              <w:t>HPE SimpliVity Project Management Service</w:t>
            </w:r>
          </w:p>
        </w:tc>
      </w:tr>
      <w:tr w:rsidR="00D24A4B" w14:paraId="27E698C9" w14:textId="77777777" w:rsidTr="00C66137">
        <w:tc>
          <w:tcPr>
            <w:tcW w:w="8858" w:type="dxa"/>
          </w:tcPr>
          <w:p w14:paraId="404811FB" w14:textId="77777777" w:rsidR="00D24A4B" w:rsidRDefault="00D24A4B" w:rsidP="00C66137">
            <w:pPr>
              <w:pStyle w:val="TableText10Single"/>
            </w:pPr>
            <w:r>
              <w:t>HPE Storage Customer Support Team Day Service</w:t>
            </w:r>
          </w:p>
        </w:tc>
      </w:tr>
      <w:tr w:rsidR="00D24A4B" w14:paraId="523BB7FC" w14:textId="77777777" w:rsidTr="00C66137">
        <w:tc>
          <w:tcPr>
            <w:tcW w:w="8858" w:type="dxa"/>
          </w:tcPr>
          <w:p w14:paraId="54801F40" w14:textId="77777777" w:rsidR="00D24A4B" w:rsidRDefault="00D24A4B" w:rsidP="00C66137">
            <w:pPr>
              <w:pStyle w:val="TableText10Single"/>
            </w:pPr>
            <w:r>
              <w:lastRenderedPageBreak/>
              <w:t>HPE Nimble Migration Services</w:t>
            </w:r>
          </w:p>
        </w:tc>
      </w:tr>
      <w:tr w:rsidR="00D24A4B" w14:paraId="31207040" w14:textId="77777777" w:rsidTr="00C66137">
        <w:tc>
          <w:tcPr>
            <w:tcW w:w="8858" w:type="dxa"/>
          </w:tcPr>
          <w:p w14:paraId="580E214D" w14:textId="77777777" w:rsidR="00D24A4B" w:rsidRDefault="00D24A4B" w:rsidP="00C66137">
            <w:pPr>
              <w:pStyle w:val="TableText10Single"/>
            </w:pPr>
            <w:r>
              <w:t>HPE Nimble Data Migration20TB10Svr SVC</w:t>
            </w:r>
          </w:p>
        </w:tc>
      </w:tr>
      <w:tr w:rsidR="00D24A4B" w14:paraId="579355A9" w14:textId="77777777" w:rsidTr="00C66137">
        <w:tc>
          <w:tcPr>
            <w:tcW w:w="8858" w:type="dxa"/>
          </w:tcPr>
          <w:p w14:paraId="447F0298" w14:textId="77777777" w:rsidR="00D24A4B" w:rsidRDefault="00D24A4B" w:rsidP="00C66137">
            <w:pPr>
              <w:pStyle w:val="TableText10Single"/>
            </w:pPr>
            <w:r>
              <w:t>HPE Nimble Data Migration50TB25Svr SVC</w:t>
            </w:r>
          </w:p>
        </w:tc>
      </w:tr>
      <w:tr w:rsidR="00D24A4B" w14:paraId="1A245687" w14:textId="77777777" w:rsidTr="00C66137">
        <w:tc>
          <w:tcPr>
            <w:tcW w:w="8858" w:type="dxa"/>
          </w:tcPr>
          <w:p w14:paraId="4A4A296F" w14:textId="77777777" w:rsidR="00D24A4B" w:rsidRDefault="00D24A4B" w:rsidP="00C66137">
            <w:pPr>
              <w:pStyle w:val="TableText10Single"/>
            </w:pPr>
            <w:r>
              <w:t>HPE Nimble Data Migration100TB50Svr SVC</w:t>
            </w:r>
          </w:p>
        </w:tc>
      </w:tr>
      <w:tr w:rsidR="00D24A4B" w14:paraId="5D681C60" w14:textId="77777777" w:rsidTr="00C66137">
        <w:tc>
          <w:tcPr>
            <w:tcW w:w="8858" w:type="dxa"/>
          </w:tcPr>
          <w:p w14:paraId="7F182C4A" w14:textId="77777777" w:rsidR="00D24A4B" w:rsidRDefault="00D24A4B" w:rsidP="00C66137">
            <w:pPr>
              <w:pStyle w:val="TableText10Single"/>
            </w:pPr>
            <w:r>
              <w:t>HPE Nimble Data Migration150TB75Svr SVC</w:t>
            </w:r>
          </w:p>
        </w:tc>
      </w:tr>
      <w:tr w:rsidR="00D24A4B" w14:paraId="182AF177" w14:textId="77777777" w:rsidTr="00C66137">
        <w:tc>
          <w:tcPr>
            <w:tcW w:w="8858" w:type="dxa"/>
          </w:tcPr>
          <w:p w14:paraId="7E1574B3" w14:textId="77777777" w:rsidR="00D24A4B" w:rsidRDefault="00D24A4B" w:rsidP="00C66137">
            <w:pPr>
              <w:pStyle w:val="TableText10Single"/>
            </w:pPr>
            <w:r>
              <w:t>HPE Recovery Manager Central Integration Service</w:t>
            </w:r>
          </w:p>
        </w:tc>
      </w:tr>
      <w:tr w:rsidR="00D24A4B" w14:paraId="78F41F5B" w14:textId="77777777" w:rsidTr="00C66137">
        <w:tc>
          <w:tcPr>
            <w:tcW w:w="8858" w:type="dxa"/>
          </w:tcPr>
          <w:p w14:paraId="427E0E37" w14:textId="77777777" w:rsidR="00D24A4B" w:rsidRDefault="00D24A4B" w:rsidP="00C66137">
            <w:pPr>
              <w:pStyle w:val="TableText10Single"/>
            </w:pPr>
            <w:r>
              <w:t>HPE 3PAR StoreServ Online Import Quick Start Service</w:t>
            </w:r>
          </w:p>
        </w:tc>
      </w:tr>
      <w:tr w:rsidR="00D24A4B" w14:paraId="39F8BBEF" w14:textId="77777777" w:rsidTr="00C66137">
        <w:tc>
          <w:tcPr>
            <w:tcW w:w="8858" w:type="dxa"/>
          </w:tcPr>
          <w:p w14:paraId="4863DBEC" w14:textId="77777777" w:rsidR="00D24A4B" w:rsidRDefault="00D24A4B" w:rsidP="00C66137">
            <w:pPr>
              <w:pStyle w:val="TableText10Single"/>
            </w:pPr>
            <w:r>
              <w:t xml:space="preserve">HPE 3PAR StoreServ Data Migration 10TB 5 Server Service </w:t>
            </w:r>
          </w:p>
        </w:tc>
      </w:tr>
      <w:tr w:rsidR="00D24A4B" w14:paraId="606140D1" w14:textId="77777777" w:rsidTr="00C66137">
        <w:tc>
          <w:tcPr>
            <w:tcW w:w="8858" w:type="dxa"/>
          </w:tcPr>
          <w:p w14:paraId="164E9971" w14:textId="77777777" w:rsidR="00D24A4B" w:rsidRDefault="00D24A4B" w:rsidP="00C66137">
            <w:pPr>
              <w:pStyle w:val="TableText10Single"/>
            </w:pPr>
            <w:r>
              <w:t>HPE 3PAR StoreServ Data Mig 50TB 25Svr Service</w:t>
            </w:r>
          </w:p>
        </w:tc>
      </w:tr>
      <w:tr w:rsidR="00D24A4B" w14:paraId="42FC1B50" w14:textId="77777777" w:rsidTr="00C66137">
        <w:tc>
          <w:tcPr>
            <w:tcW w:w="8858" w:type="dxa"/>
          </w:tcPr>
          <w:p w14:paraId="0E0077AF" w14:textId="77777777" w:rsidR="00D24A4B" w:rsidRDefault="00D24A4B" w:rsidP="00C66137">
            <w:pPr>
              <w:pStyle w:val="TableText10Single"/>
            </w:pPr>
            <w:r>
              <w:t>HPE 3PAR StoreServ Data Mig150TB 75Svr Service</w:t>
            </w:r>
          </w:p>
        </w:tc>
      </w:tr>
      <w:tr w:rsidR="00D24A4B" w14:paraId="7F5246AA" w14:textId="77777777" w:rsidTr="00C66137">
        <w:tc>
          <w:tcPr>
            <w:tcW w:w="8858" w:type="dxa"/>
          </w:tcPr>
          <w:p w14:paraId="5CB0A261" w14:textId="77777777" w:rsidR="00D24A4B" w:rsidRDefault="00D24A4B" w:rsidP="00C66137">
            <w:pPr>
              <w:pStyle w:val="TableText10Single"/>
            </w:pPr>
            <w:r>
              <w:t>HPE Startup 3PAR Remote Copy Service</w:t>
            </w:r>
          </w:p>
        </w:tc>
      </w:tr>
      <w:tr w:rsidR="00D24A4B" w14:paraId="1D9F37BC" w14:textId="77777777" w:rsidTr="00C66137">
        <w:tc>
          <w:tcPr>
            <w:tcW w:w="8858" w:type="dxa"/>
          </w:tcPr>
          <w:p w14:paraId="126DE963" w14:textId="77777777" w:rsidR="00D24A4B" w:rsidRDefault="00D24A4B" w:rsidP="00C66137">
            <w:pPr>
              <w:pStyle w:val="TableText10Single"/>
            </w:pPr>
            <w:r>
              <w:t>HPE 3PAR Health Check Service</w:t>
            </w:r>
          </w:p>
        </w:tc>
      </w:tr>
      <w:tr w:rsidR="00D24A4B" w14:paraId="6283BB09" w14:textId="77777777" w:rsidTr="00C66137">
        <w:tc>
          <w:tcPr>
            <w:tcW w:w="8858" w:type="dxa"/>
          </w:tcPr>
          <w:p w14:paraId="0029E6B1" w14:textId="77777777" w:rsidR="00D24A4B" w:rsidRDefault="00D24A4B" w:rsidP="00C66137">
            <w:pPr>
              <w:pStyle w:val="TableText10Single"/>
            </w:pPr>
            <w:r>
              <w:t>HPE 3PAR Perform Capacity Trending Service</w:t>
            </w:r>
          </w:p>
        </w:tc>
      </w:tr>
      <w:tr w:rsidR="00D24A4B" w14:paraId="2F811018" w14:textId="77777777" w:rsidTr="00C66137">
        <w:tc>
          <w:tcPr>
            <w:tcW w:w="8858" w:type="dxa"/>
          </w:tcPr>
          <w:p w14:paraId="72AB44F3" w14:textId="77777777" w:rsidR="00D24A4B" w:rsidRDefault="00D24A4B" w:rsidP="00C66137">
            <w:pPr>
              <w:pStyle w:val="TableText10Single"/>
            </w:pPr>
            <w:r>
              <w:t>HPE StoreOnce 6000 System Startup Service</w:t>
            </w:r>
          </w:p>
        </w:tc>
      </w:tr>
      <w:tr w:rsidR="00D24A4B" w14:paraId="65AEBF4F" w14:textId="77777777" w:rsidTr="00C66137">
        <w:tc>
          <w:tcPr>
            <w:tcW w:w="8858" w:type="dxa"/>
          </w:tcPr>
          <w:p w14:paraId="05533F44" w14:textId="77777777" w:rsidR="00D24A4B" w:rsidRDefault="00D24A4B" w:rsidP="00C66137">
            <w:pPr>
              <w:pStyle w:val="TableText10Single"/>
            </w:pPr>
            <w:r>
              <w:t>HPE StoreOnce 6000 Rack Transition Service</w:t>
            </w:r>
          </w:p>
        </w:tc>
      </w:tr>
      <w:tr w:rsidR="00D24A4B" w14:paraId="7B8C7778" w14:textId="77777777" w:rsidTr="00C66137">
        <w:tc>
          <w:tcPr>
            <w:tcW w:w="8858" w:type="dxa"/>
          </w:tcPr>
          <w:p w14:paraId="7BEE2EF5" w14:textId="77777777" w:rsidR="00D24A4B" w:rsidRDefault="00D24A4B" w:rsidP="00C66137">
            <w:pPr>
              <w:pStyle w:val="TableText10Single"/>
            </w:pPr>
            <w:r>
              <w:t>HPE StoreOnce Integration Service</w:t>
            </w:r>
          </w:p>
        </w:tc>
      </w:tr>
      <w:tr w:rsidR="00D24A4B" w14:paraId="0AF01796" w14:textId="77777777" w:rsidTr="00C66137">
        <w:tc>
          <w:tcPr>
            <w:tcW w:w="8858" w:type="dxa"/>
          </w:tcPr>
          <w:p w14:paraId="56D02A35" w14:textId="77777777" w:rsidR="00D24A4B" w:rsidRDefault="00D24A4B" w:rsidP="00C66137">
            <w:pPr>
              <w:pStyle w:val="TableText10Single"/>
            </w:pPr>
            <w:r>
              <w:t>HPE Data Sanitization Storage Tier 1 Service</w:t>
            </w:r>
          </w:p>
        </w:tc>
      </w:tr>
      <w:tr w:rsidR="00D24A4B" w14:paraId="31637569" w14:textId="77777777" w:rsidTr="00C66137">
        <w:tc>
          <w:tcPr>
            <w:tcW w:w="8858" w:type="dxa"/>
          </w:tcPr>
          <w:p w14:paraId="37C59149" w14:textId="77777777" w:rsidR="00D24A4B" w:rsidRDefault="00D24A4B" w:rsidP="00C66137">
            <w:pPr>
              <w:pStyle w:val="TableText10Single"/>
            </w:pPr>
            <w:r>
              <w:t>HPE Data Sanitization Storage Tier 2 Service</w:t>
            </w:r>
          </w:p>
        </w:tc>
      </w:tr>
      <w:tr w:rsidR="00D24A4B" w14:paraId="32896EF4" w14:textId="77777777" w:rsidTr="00C66137">
        <w:tc>
          <w:tcPr>
            <w:tcW w:w="8858" w:type="dxa"/>
          </w:tcPr>
          <w:p w14:paraId="4F9C1975" w14:textId="77777777" w:rsidR="00D24A4B" w:rsidRDefault="00D24A4B" w:rsidP="00C66137">
            <w:pPr>
              <w:pStyle w:val="TableText10Single"/>
            </w:pPr>
            <w:r>
              <w:t>HPE HPSD Firmware Update Analysis Service</w:t>
            </w:r>
          </w:p>
        </w:tc>
      </w:tr>
      <w:tr w:rsidR="00D24A4B" w14:paraId="04B8E538" w14:textId="77777777" w:rsidTr="00C66137">
        <w:tc>
          <w:tcPr>
            <w:tcW w:w="8858" w:type="dxa"/>
          </w:tcPr>
          <w:p w14:paraId="5D724B20" w14:textId="77777777" w:rsidR="00D24A4B" w:rsidRDefault="00D24A4B" w:rsidP="00C66137">
            <w:pPr>
              <w:pStyle w:val="TableText10Single"/>
            </w:pPr>
            <w:r>
              <w:t>HPE HPSD Firmware Update Implement Service</w:t>
            </w:r>
          </w:p>
        </w:tc>
      </w:tr>
      <w:tr w:rsidR="00D24A4B" w14:paraId="2234EC37" w14:textId="77777777" w:rsidTr="00C66137">
        <w:tc>
          <w:tcPr>
            <w:tcW w:w="8858" w:type="dxa"/>
          </w:tcPr>
          <w:p w14:paraId="443E399C" w14:textId="77777777" w:rsidR="00D24A4B" w:rsidRDefault="00D24A4B" w:rsidP="00C66137">
            <w:pPr>
              <w:pStyle w:val="TableText10Single"/>
            </w:pPr>
            <w:r>
              <w:t>Storage Residency</w:t>
            </w:r>
          </w:p>
        </w:tc>
      </w:tr>
      <w:tr w:rsidR="00D24A4B" w14:paraId="13DB1E8B" w14:textId="77777777" w:rsidTr="00C66137">
        <w:tc>
          <w:tcPr>
            <w:tcW w:w="8858" w:type="dxa"/>
          </w:tcPr>
          <w:p w14:paraId="6356CBF3" w14:textId="77777777" w:rsidR="00D24A4B" w:rsidRDefault="00D24A4B" w:rsidP="00C66137">
            <w:pPr>
              <w:pStyle w:val="TableText10Single"/>
            </w:pPr>
            <w:r>
              <w:t>HPE Vertica Implementation Accelerator Service</w:t>
            </w:r>
          </w:p>
        </w:tc>
      </w:tr>
      <w:tr w:rsidR="00D24A4B" w14:paraId="3024896A" w14:textId="77777777" w:rsidTr="00C66137">
        <w:tc>
          <w:tcPr>
            <w:tcW w:w="8858" w:type="dxa"/>
          </w:tcPr>
          <w:p w14:paraId="582F783C" w14:textId="77777777" w:rsidR="00D24A4B" w:rsidRDefault="00D24A4B" w:rsidP="00C66137">
            <w:pPr>
              <w:pStyle w:val="TableText10Single"/>
            </w:pPr>
            <w:r>
              <w:t>HPE Vertica Deployment Roadmap Service</w:t>
            </w:r>
          </w:p>
        </w:tc>
      </w:tr>
      <w:tr w:rsidR="00D24A4B" w14:paraId="3116D53E" w14:textId="77777777" w:rsidTr="00C66137">
        <w:tc>
          <w:tcPr>
            <w:tcW w:w="8858" w:type="dxa"/>
          </w:tcPr>
          <w:p w14:paraId="04B86567" w14:textId="77777777" w:rsidR="00D24A4B" w:rsidRDefault="00D24A4B" w:rsidP="00C66137">
            <w:pPr>
              <w:pStyle w:val="TableText10Single"/>
            </w:pPr>
            <w:r>
              <w:t xml:space="preserve">HPE Vertica Data </w:t>
            </w:r>
          </w:p>
        </w:tc>
      </w:tr>
      <w:tr w:rsidR="00D24A4B" w14:paraId="0CFF6EB6" w14:textId="77777777" w:rsidTr="00C66137">
        <w:tc>
          <w:tcPr>
            <w:tcW w:w="8858" w:type="dxa"/>
          </w:tcPr>
          <w:p w14:paraId="53FF8789" w14:textId="77777777" w:rsidR="00D24A4B" w:rsidRDefault="00D24A4B" w:rsidP="00C66137">
            <w:pPr>
              <w:pStyle w:val="TableText10Single"/>
            </w:pPr>
            <w:r>
              <w:t>Migration Assessment Services</w:t>
            </w:r>
          </w:p>
        </w:tc>
      </w:tr>
      <w:tr w:rsidR="00D24A4B" w14:paraId="41A7944C" w14:textId="77777777" w:rsidTr="00C66137">
        <w:tc>
          <w:tcPr>
            <w:tcW w:w="8858" w:type="dxa"/>
          </w:tcPr>
          <w:p w14:paraId="3E46EAB9" w14:textId="77777777" w:rsidR="00D24A4B" w:rsidRDefault="00D24A4B" w:rsidP="00C66137">
            <w:pPr>
              <w:pStyle w:val="TableText10Single"/>
            </w:pPr>
            <w:r>
              <w:t>HPE Custom  SOW Storage Consulting  Service</w:t>
            </w:r>
          </w:p>
        </w:tc>
      </w:tr>
      <w:tr w:rsidR="00D24A4B" w14:paraId="3CA64C64" w14:textId="77777777" w:rsidTr="00C66137">
        <w:tc>
          <w:tcPr>
            <w:tcW w:w="8858" w:type="dxa"/>
          </w:tcPr>
          <w:p w14:paraId="54F10053" w14:textId="77777777" w:rsidR="00D24A4B" w:rsidRDefault="00D24A4B" w:rsidP="00C66137">
            <w:pPr>
              <w:pStyle w:val="TableText10Single"/>
            </w:pPr>
            <w:r>
              <w:t>HPE Startup Storage Additional One Day Service</w:t>
            </w:r>
          </w:p>
        </w:tc>
      </w:tr>
      <w:tr w:rsidR="00D24A4B" w14:paraId="2C5467CE" w14:textId="77777777" w:rsidTr="00C66137">
        <w:tc>
          <w:tcPr>
            <w:tcW w:w="8858" w:type="dxa"/>
            <w:tcBorders>
              <w:bottom w:val="single" w:sz="4" w:space="0" w:color="auto"/>
            </w:tcBorders>
          </w:tcPr>
          <w:p w14:paraId="52CD62CE" w14:textId="77777777" w:rsidR="00D24A4B" w:rsidRDefault="00D24A4B" w:rsidP="00C66137">
            <w:pPr>
              <w:pStyle w:val="TableText10Single"/>
            </w:pPr>
            <w:r>
              <w:t>HPE Startup Storage Additional  1/2 Day Service</w:t>
            </w:r>
          </w:p>
        </w:tc>
      </w:tr>
      <w:tr w:rsidR="00D24A4B" w14:paraId="6EB6D4DF" w14:textId="77777777" w:rsidTr="00C66137">
        <w:tc>
          <w:tcPr>
            <w:tcW w:w="8858" w:type="dxa"/>
            <w:shd w:val="clear" w:color="auto" w:fill="B1B5B7"/>
          </w:tcPr>
          <w:p w14:paraId="3D1F240D" w14:textId="77777777" w:rsidR="00D24A4B" w:rsidRDefault="00D24A4B" w:rsidP="00C66137">
            <w:pPr>
              <w:pStyle w:val="TableSubheading10"/>
              <w:jc w:val="center"/>
            </w:pPr>
            <w:r>
              <w:t xml:space="preserve">Cloud Services </w:t>
            </w:r>
          </w:p>
        </w:tc>
      </w:tr>
      <w:tr w:rsidR="00D24A4B" w14:paraId="6FBCA724" w14:textId="77777777" w:rsidTr="00C66137">
        <w:tc>
          <w:tcPr>
            <w:tcW w:w="8858" w:type="dxa"/>
          </w:tcPr>
          <w:p w14:paraId="77115A28" w14:textId="77777777" w:rsidR="00D24A4B" w:rsidRDefault="00D24A4B" w:rsidP="00C66137">
            <w:pPr>
              <w:pStyle w:val="TableText10Single"/>
            </w:pPr>
            <w:r>
              <w:t>HPE Cloud Consulting 5 Day Onsite Service</w:t>
            </w:r>
          </w:p>
        </w:tc>
      </w:tr>
      <w:tr w:rsidR="00D24A4B" w14:paraId="44880A6D" w14:textId="77777777" w:rsidTr="00C66137">
        <w:tc>
          <w:tcPr>
            <w:tcW w:w="8858" w:type="dxa"/>
          </w:tcPr>
          <w:p w14:paraId="3364FE99" w14:textId="77777777" w:rsidR="00D24A4B" w:rsidRDefault="00D24A4B" w:rsidP="00C66137">
            <w:pPr>
              <w:pStyle w:val="TableText10Single"/>
            </w:pPr>
            <w:r>
              <w:t>HPE Helion OpenStack Professional Service 5 Day Onsite Service</w:t>
            </w:r>
          </w:p>
        </w:tc>
      </w:tr>
      <w:tr w:rsidR="00D24A4B" w14:paraId="7B23470A" w14:textId="77777777" w:rsidTr="00C66137">
        <w:tc>
          <w:tcPr>
            <w:tcW w:w="8858" w:type="dxa"/>
          </w:tcPr>
          <w:p w14:paraId="3204BF15" w14:textId="77777777" w:rsidR="00D24A4B" w:rsidRDefault="00D24A4B" w:rsidP="00C66137">
            <w:pPr>
              <w:pStyle w:val="TableText10Single"/>
            </w:pPr>
            <w:r>
              <w:t>HPE Consulting for Microsoft Azure Hybrid Cloud 5 Day Onsite Service</w:t>
            </w:r>
          </w:p>
        </w:tc>
      </w:tr>
      <w:tr w:rsidR="00D24A4B" w14:paraId="4B2C111C" w14:textId="77777777" w:rsidTr="00C66137">
        <w:tc>
          <w:tcPr>
            <w:tcW w:w="8858" w:type="dxa"/>
          </w:tcPr>
          <w:p w14:paraId="1369569A" w14:textId="77777777" w:rsidR="00D24A4B" w:rsidRDefault="00D24A4B" w:rsidP="00C66137">
            <w:pPr>
              <w:pStyle w:val="TableText10Single"/>
            </w:pPr>
            <w:r>
              <w:t>HPE ProLiant Core Deployment Accelerator for Microsoft Azure Stack Service</w:t>
            </w:r>
          </w:p>
        </w:tc>
      </w:tr>
      <w:tr w:rsidR="00D24A4B" w14:paraId="35E2119D" w14:textId="77777777" w:rsidTr="00C66137">
        <w:tc>
          <w:tcPr>
            <w:tcW w:w="8858" w:type="dxa"/>
          </w:tcPr>
          <w:p w14:paraId="74993DBA" w14:textId="77777777" w:rsidR="00D24A4B" w:rsidRDefault="00D24A4B" w:rsidP="00C66137">
            <w:pPr>
              <w:pStyle w:val="TableText10Single"/>
            </w:pPr>
            <w:r>
              <w:t>HPE ProLiant Post Deployment Accelerator for Microsoft Azure Stack Service</w:t>
            </w:r>
          </w:p>
        </w:tc>
      </w:tr>
      <w:tr w:rsidR="00D24A4B" w14:paraId="42F94D4E" w14:textId="77777777" w:rsidTr="00C66137">
        <w:tc>
          <w:tcPr>
            <w:tcW w:w="8858" w:type="dxa"/>
          </w:tcPr>
          <w:p w14:paraId="3CCA966B" w14:textId="77777777" w:rsidR="00D24A4B" w:rsidRDefault="00D24A4B" w:rsidP="00C66137">
            <w:pPr>
              <w:pStyle w:val="TableText10Single"/>
            </w:pPr>
            <w:r>
              <w:t>HPE Cloud Native Container Service for Mesosphere Service</w:t>
            </w:r>
          </w:p>
        </w:tc>
      </w:tr>
      <w:tr w:rsidR="00D24A4B" w14:paraId="2C94B818" w14:textId="77777777" w:rsidTr="00C66137">
        <w:tc>
          <w:tcPr>
            <w:tcW w:w="8858" w:type="dxa"/>
          </w:tcPr>
          <w:p w14:paraId="71177948" w14:textId="77777777" w:rsidR="00D24A4B" w:rsidRDefault="00D24A4B" w:rsidP="00C66137">
            <w:pPr>
              <w:pStyle w:val="TableText10Single"/>
            </w:pPr>
            <w:r>
              <w:t>HPE Hybrid Service Accelerator</w:t>
            </w:r>
          </w:p>
        </w:tc>
      </w:tr>
      <w:tr w:rsidR="00D24A4B" w14:paraId="70E15874" w14:textId="77777777" w:rsidTr="00C66137">
        <w:tc>
          <w:tcPr>
            <w:tcW w:w="8858" w:type="dxa"/>
            <w:tcBorders>
              <w:bottom w:val="single" w:sz="4" w:space="0" w:color="auto"/>
            </w:tcBorders>
          </w:tcPr>
          <w:p w14:paraId="60672AC9" w14:textId="77777777" w:rsidR="00D24A4B" w:rsidRDefault="00D24A4B" w:rsidP="00C66137">
            <w:pPr>
              <w:pStyle w:val="TableText10Single"/>
            </w:pPr>
            <w:r>
              <w:t>HPE CloudSystem Expert Assistance Service</w:t>
            </w:r>
          </w:p>
        </w:tc>
      </w:tr>
      <w:tr w:rsidR="00D24A4B" w14:paraId="1BE9927F" w14:textId="77777777" w:rsidTr="00C66137">
        <w:tc>
          <w:tcPr>
            <w:tcW w:w="8858" w:type="dxa"/>
            <w:shd w:val="clear" w:color="auto" w:fill="B1B5B7"/>
          </w:tcPr>
          <w:p w14:paraId="100B4883" w14:textId="77777777" w:rsidR="00D24A4B" w:rsidRDefault="00D24A4B" w:rsidP="00C66137">
            <w:pPr>
              <w:pStyle w:val="TableSubheading10"/>
              <w:jc w:val="center"/>
            </w:pPr>
            <w:r>
              <w:t xml:space="preserve">Data Center Services </w:t>
            </w:r>
          </w:p>
        </w:tc>
      </w:tr>
      <w:tr w:rsidR="00D24A4B" w14:paraId="78D698F3" w14:textId="77777777" w:rsidTr="00C66137">
        <w:tc>
          <w:tcPr>
            <w:tcW w:w="8858" w:type="dxa"/>
          </w:tcPr>
          <w:p w14:paraId="6AA5E1DC" w14:textId="77777777" w:rsidR="00D24A4B" w:rsidRDefault="00D24A4B" w:rsidP="00C66137">
            <w:pPr>
              <w:pStyle w:val="TableText10Single"/>
            </w:pPr>
            <w:r>
              <w:t>HPE DCC Consulting 5 Day  Onsite Service</w:t>
            </w:r>
          </w:p>
        </w:tc>
      </w:tr>
      <w:tr w:rsidR="00D24A4B" w14:paraId="0595DC43" w14:textId="77777777" w:rsidTr="00C66137">
        <w:tc>
          <w:tcPr>
            <w:tcW w:w="8858" w:type="dxa"/>
          </w:tcPr>
          <w:p w14:paraId="5BB68EEC" w14:textId="77777777" w:rsidR="00D24A4B" w:rsidRDefault="00D24A4B" w:rsidP="00C66137">
            <w:pPr>
              <w:pStyle w:val="TableText10Single"/>
            </w:pPr>
            <w:r>
              <w:lastRenderedPageBreak/>
              <w:t>HPE Industry Standard Server Implementation Assistance Service</w:t>
            </w:r>
          </w:p>
        </w:tc>
      </w:tr>
      <w:tr w:rsidR="00D24A4B" w14:paraId="7ECE8EDC" w14:textId="77777777" w:rsidTr="00C66137">
        <w:tc>
          <w:tcPr>
            <w:tcW w:w="8858" w:type="dxa"/>
          </w:tcPr>
          <w:p w14:paraId="612FB8BA" w14:textId="77777777" w:rsidR="00D24A4B" w:rsidRDefault="00D24A4B" w:rsidP="00C66137">
            <w:pPr>
              <w:pStyle w:val="TableText10Single"/>
            </w:pPr>
            <w:r>
              <w:t>Security Standards and Compliance Assessment service</w:t>
            </w:r>
          </w:p>
        </w:tc>
      </w:tr>
      <w:tr w:rsidR="00D24A4B" w14:paraId="4C5C2D08" w14:textId="77777777" w:rsidTr="00C66137">
        <w:tc>
          <w:tcPr>
            <w:tcW w:w="8858" w:type="dxa"/>
          </w:tcPr>
          <w:p w14:paraId="554B7F36" w14:textId="77777777" w:rsidR="00D24A4B" w:rsidRDefault="00D24A4B" w:rsidP="00C66137">
            <w:pPr>
              <w:pStyle w:val="TableText10Single"/>
            </w:pPr>
            <w:r>
              <w:t>Software Defined Infrastructure (SDI) Services and Accelerator Services</w:t>
            </w:r>
          </w:p>
        </w:tc>
      </w:tr>
      <w:tr w:rsidR="00D24A4B" w14:paraId="1BBDA9E1" w14:textId="77777777" w:rsidTr="00C66137">
        <w:tc>
          <w:tcPr>
            <w:tcW w:w="8858" w:type="dxa"/>
          </w:tcPr>
          <w:p w14:paraId="073873C3" w14:textId="77777777" w:rsidR="00D24A4B" w:rsidRDefault="00D24A4B" w:rsidP="00C66137">
            <w:pPr>
              <w:pStyle w:val="TableText10Single"/>
            </w:pPr>
            <w:r>
              <w:t>HPE OneView Configuration and Startup Service</w:t>
            </w:r>
          </w:p>
        </w:tc>
      </w:tr>
      <w:tr w:rsidR="00D24A4B" w14:paraId="42F00640" w14:textId="77777777" w:rsidTr="00C66137">
        <w:tc>
          <w:tcPr>
            <w:tcW w:w="8858" w:type="dxa"/>
          </w:tcPr>
          <w:p w14:paraId="562ACC64" w14:textId="77777777" w:rsidR="00D24A4B" w:rsidRDefault="00D24A4B" w:rsidP="00C66137">
            <w:pPr>
              <w:pStyle w:val="TableText10Single"/>
            </w:pPr>
            <w:r>
              <w:t>HPE OneView Installation and c7000 BladeSystem Migration Service</w:t>
            </w:r>
          </w:p>
        </w:tc>
      </w:tr>
      <w:tr w:rsidR="00D24A4B" w14:paraId="00CF4A56" w14:textId="77777777" w:rsidTr="00C66137">
        <w:tc>
          <w:tcPr>
            <w:tcW w:w="8858" w:type="dxa"/>
          </w:tcPr>
          <w:p w14:paraId="0D2C8AA3" w14:textId="77777777" w:rsidR="00D24A4B" w:rsidRDefault="00D24A4B" w:rsidP="00C66137">
            <w:pPr>
              <w:pStyle w:val="TableText10Single"/>
            </w:pPr>
            <w:r>
              <w:t>HPE OneView c7000 BladeSystem Migration Add-on Service</w:t>
            </w:r>
          </w:p>
        </w:tc>
      </w:tr>
      <w:tr w:rsidR="00D24A4B" w14:paraId="23E9C7B3" w14:textId="77777777" w:rsidTr="00C66137">
        <w:tc>
          <w:tcPr>
            <w:tcW w:w="8858" w:type="dxa"/>
          </w:tcPr>
          <w:p w14:paraId="2B6384C8" w14:textId="77777777" w:rsidR="00D24A4B" w:rsidRDefault="00D24A4B" w:rsidP="00C66137">
            <w:pPr>
              <w:pStyle w:val="TableText10Single"/>
            </w:pPr>
            <w:r>
              <w:t>HPE OneView Implementation Service</w:t>
            </w:r>
          </w:p>
        </w:tc>
      </w:tr>
      <w:tr w:rsidR="00D24A4B" w14:paraId="19CE03FE" w14:textId="77777777" w:rsidTr="00C66137">
        <w:tc>
          <w:tcPr>
            <w:tcW w:w="8858" w:type="dxa"/>
          </w:tcPr>
          <w:p w14:paraId="5A9ED13D" w14:textId="77777777" w:rsidR="00D24A4B" w:rsidRDefault="00D24A4B" w:rsidP="00C66137">
            <w:pPr>
              <w:pStyle w:val="TableText10Single"/>
            </w:pPr>
            <w:r>
              <w:t>HPE Remote OneView Implementation Service Remote</w:t>
            </w:r>
          </w:p>
        </w:tc>
      </w:tr>
      <w:tr w:rsidR="00D24A4B" w14:paraId="1CBD7259" w14:textId="77777777" w:rsidTr="00C66137">
        <w:tc>
          <w:tcPr>
            <w:tcW w:w="8858" w:type="dxa"/>
          </w:tcPr>
          <w:p w14:paraId="0F7BD595" w14:textId="77777777" w:rsidR="00D24A4B" w:rsidRDefault="00D24A4B" w:rsidP="00C66137">
            <w:pPr>
              <w:pStyle w:val="TableText10Single"/>
            </w:pPr>
            <w:r>
              <w:t>HPE IT Automation Service</w:t>
            </w:r>
          </w:p>
        </w:tc>
      </w:tr>
      <w:tr w:rsidR="00D24A4B" w14:paraId="4F2CE35C" w14:textId="77777777" w:rsidTr="00C66137">
        <w:tc>
          <w:tcPr>
            <w:tcW w:w="8858" w:type="dxa"/>
          </w:tcPr>
          <w:p w14:paraId="2AD8832B" w14:textId="77777777" w:rsidR="00D24A4B" w:rsidRDefault="00D24A4B" w:rsidP="00C66137">
            <w:pPr>
              <w:pStyle w:val="TableText10Single"/>
            </w:pPr>
            <w:r>
              <w:t>HPE BCS Firmware Update Analysis Service</w:t>
            </w:r>
          </w:p>
        </w:tc>
      </w:tr>
      <w:tr w:rsidR="00D24A4B" w14:paraId="129A7037" w14:textId="77777777" w:rsidTr="00C66137">
        <w:tc>
          <w:tcPr>
            <w:tcW w:w="8858" w:type="dxa"/>
          </w:tcPr>
          <w:p w14:paraId="081B18FE" w14:textId="77777777" w:rsidR="00D24A4B" w:rsidRDefault="00D24A4B" w:rsidP="00C66137">
            <w:pPr>
              <w:pStyle w:val="TableText10Single"/>
            </w:pPr>
            <w:r>
              <w:t>HPE System Healthcheck Service</w:t>
            </w:r>
          </w:p>
        </w:tc>
      </w:tr>
      <w:tr w:rsidR="00D24A4B" w14:paraId="3C60C376" w14:textId="77777777" w:rsidTr="00C66137">
        <w:tc>
          <w:tcPr>
            <w:tcW w:w="8858" w:type="dxa"/>
          </w:tcPr>
          <w:p w14:paraId="49CF9A56" w14:textId="77777777" w:rsidR="00D24A4B" w:rsidRDefault="00D24A4B" w:rsidP="00C66137">
            <w:pPr>
              <w:pStyle w:val="TableText10Single"/>
            </w:pPr>
            <w:r>
              <w:t>HPE HealthCheck Analysis VMware Server Service</w:t>
            </w:r>
          </w:p>
        </w:tc>
      </w:tr>
      <w:tr w:rsidR="00D24A4B" w14:paraId="537C079F" w14:textId="77777777" w:rsidTr="00C66137">
        <w:tc>
          <w:tcPr>
            <w:tcW w:w="8858" w:type="dxa"/>
          </w:tcPr>
          <w:p w14:paraId="6737671F" w14:textId="77777777" w:rsidR="00D24A4B" w:rsidRDefault="00D24A4B" w:rsidP="00C66137">
            <w:pPr>
              <w:pStyle w:val="TableText10Single"/>
            </w:pPr>
            <w:r>
              <w:t>HPE Simplivity 380 Hardware Startup Service</w:t>
            </w:r>
          </w:p>
        </w:tc>
      </w:tr>
      <w:tr w:rsidR="00D24A4B" w14:paraId="41B98636" w14:textId="77777777" w:rsidTr="00C66137">
        <w:tc>
          <w:tcPr>
            <w:tcW w:w="8858" w:type="dxa"/>
          </w:tcPr>
          <w:p w14:paraId="583D4629" w14:textId="77777777" w:rsidR="00D24A4B" w:rsidRDefault="00D24A4B" w:rsidP="00C66137">
            <w:pPr>
              <w:pStyle w:val="TableText10Single"/>
            </w:pPr>
            <w:r>
              <w:t>HPE Simplivity 380 Software Startup Service</w:t>
            </w:r>
          </w:p>
        </w:tc>
      </w:tr>
      <w:tr w:rsidR="00D24A4B" w14:paraId="177A5B50" w14:textId="77777777" w:rsidTr="00C66137">
        <w:tc>
          <w:tcPr>
            <w:tcW w:w="8858" w:type="dxa"/>
          </w:tcPr>
          <w:p w14:paraId="055E8E00" w14:textId="77777777" w:rsidR="00D24A4B" w:rsidRDefault="00D24A4B" w:rsidP="00C66137">
            <w:pPr>
              <w:pStyle w:val="TableText10Single"/>
            </w:pPr>
            <w:r>
              <w:t>HPE DMF Implementation Disk to Disk Service</w:t>
            </w:r>
          </w:p>
        </w:tc>
      </w:tr>
      <w:tr w:rsidR="00D24A4B" w14:paraId="4693C1A4" w14:textId="77777777" w:rsidTr="00C66137">
        <w:tc>
          <w:tcPr>
            <w:tcW w:w="8858" w:type="dxa"/>
          </w:tcPr>
          <w:p w14:paraId="4C0DC036" w14:textId="77777777" w:rsidR="00D24A4B" w:rsidRDefault="00D24A4B" w:rsidP="00C66137">
            <w:pPr>
              <w:pStyle w:val="TableText10Single"/>
            </w:pPr>
            <w:r>
              <w:t>HPE DMF Implementation Disk to Tape Service</w:t>
            </w:r>
          </w:p>
        </w:tc>
      </w:tr>
      <w:tr w:rsidR="00D24A4B" w14:paraId="04829B20" w14:textId="77777777" w:rsidTr="00C66137">
        <w:tc>
          <w:tcPr>
            <w:tcW w:w="8858" w:type="dxa"/>
          </w:tcPr>
          <w:p w14:paraId="2D788B3E" w14:textId="77777777" w:rsidR="00D24A4B" w:rsidRDefault="00D24A4B" w:rsidP="00C66137">
            <w:pPr>
              <w:pStyle w:val="TableText10Single"/>
            </w:pPr>
            <w:r>
              <w:t>HPE DMF Implementation High Performance Service</w:t>
            </w:r>
          </w:p>
        </w:tc>
      </w:tr>
      <w:tr w:rsidR="00D24A4B" w14:paraId="2423F9EC" w14:textId="77777777" w:rsidTr="00C66137">
        <w:tc>
          <w:tcPr>
            <w:tcW w:w="8858" w:type="dxa"/>
          </w:tcPr>
          <w:p w14:paraId="2185C6AF" w14:textId="77777777" w:rsidR="00D24A4B" w:rsidRDefault="00D24A4B" w:rsidP="00C66137">
            <w:pPr>
              <w:pStyle w:val="TableText10Single"/>
            </w:pPr>
            <w:r>
              <w:t>HPE DMF Implementation Add on Service</w:t>
            </w:r>
          </w:p>
        </w:tc>
      </w:tr>
    </w:tbl>
    <w:p w14:paraId="13379E1E" w14:textId="77777777" w:rsidR="00D24A4B" w:rsidRDefault="00D24A4B" w:rsidP="00D24A4B">
      <w:pPr>
        <w:pStyle w:val="BodySingle"/>
      </w:pPr>
    </w:p>
    <w:p w14:paraId="57B98E08" w14:textId="77777777" w:rsidR="00D24A4B" w:rsidRDefault="00D24A4B" w:rsidP="00D24A4B">
      <w:pPr>
        <w:pStyle w:val="Heading30"/>
      </w:pPr>
      <w:bookmarkStart w:id="62" w:name="_Toc518548608"/>
      <w:r>
        <w:t>8.22</w:t>
      </w:r>
      <w:r>
        <w:tab/>
        <w:t>(E) Supporting Infrastructure</w:t>
      </w:r>
      <w:bookmarkEnd w:id="61"/>
      <w:bookmarkEnd w:id="62"/>
    </w:p>
    <w:p w14:paraId="048ABE66" w14:textId="77777777" w:rsidR="00D24A4B" w:rsidRPr="008168FA" w:rsidRDefault="00D24A4B" w:rsidP="00D24A4B">
      <w:pPr>
        <w:shd w:val="clear" w:color="auto" w:fill="E2EFD9" w:themeFill="accent6" w:themeFillTint="33"/>
        <w:spacing w:after="160" w:line="259" w:lineRule="auto"/>
        <w:rPr>
          <w:rFonts w:ascii="Arial" w:eastAsia="PMingLiU" w:hAnsi="Arial" w:cs="Times New Roman"/>
          <w:szCs w:val="20"/>
          <w:lang w:val="en-GB"/>
        </w:rPr>
      </w:pPr>
      <w:r w:rsidRPr="00C8354F">
        <w:rPr>
          <w:rFonts w:ascii="Arial" w:eastAsia="PMingLiU" w:hAnsi="Arial" w:cs="Times New Roman"/>
          <w:szCs w:val="20"/>
          <w:lang w:val="en-GB"/>
        </w:rPr>
        <w:t xml:space="preserve">HPE </w:t>
      </w:r>
      <w:r>
        <w:rPr>
          <w:rFonts w:ascii="Arial" w:eastAsia="PMingLiU" w:hAnsi="Arial" w:cs="Times New Roman"/>
          <w:szCs w:val="20"/>
          <w:lang w:val="en-GB"/>
        </w:rPr>
        <w:t>hybrid cloud</w:t>
      </w:r>
      <w:r w:rsidRPr="00C8354F">
        <w:rPr>
          <w:rFonts w:ascii="Arial" w:eastAsia="PMingLiU" w:hAnsi="Arial" w:cs="Times New Roman"/>
          <w:szCs w:val="20"/>
          <w:lang w:val="en-GB"/>
        </w:rPr>
        <w:t xml:space="preserve"> solution is a fully integrated system that delivers Azure compatible, software defined Infrastructure-as-a-Service (IaaS), Platform-as-a-Service (PaaS) on HPE hardware and Software-as-a-Service (SaaS) on Microsoft’ Azure public cloud is a superior offering for Purchasing Entity</w:t>
      </w:r>
      <w:r>
        <w:rPr>
          <w:rFonts w:ascii="Arial" w:eastAsia="PMingLiU" w:hAnsi="Arial" w:cs="Times New Roman"/>
          <w:szCs w:val="20"/>
          <w:lang w:val="en-GB"/>
        </w:rPr>
        <w:t>:</w:t>
      </w:r>
    </w:p>
    <w:p w14:paraId="59B6FB56" w14:textId="77777777" w:rsidR="00D24A4B" w:rsidRPr="00273184"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273184">
        <w:rPr>
          <w:rFonts w:ascii="Arial" w:eastAsia="PMingLiU" w:hAnsi="Arial" w:cs="Times New Roman"/>
          <w:szCs w:val="20"/>
        </w:rPr>
        <w:t xml:space="preserve">Through GreenLake, a buffer capacity is always in place. </w:t>
      </w:r>
    </w:p>
    <w:p w14:paraId="5BD4F97E" w14:textId="77777777" w:rsidR="00D24A4B" w:rsidRPr="00273184"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273184">
        <w:rPr>
          <w:rFonts w:ascii="Arial" w:eastAsia="PMingLiU" w:hAnsi="Arial" w:cs="Times New Roman"/>
          <w:szCs w:val="20"/>
        </w:rPr>
        <w:t xml:space="preserve">HPE also has the ability to add more infrastructure as capacity increases. </w:t>
      </w:r>
    </w:p>
    <w:p w14:paraId="14743C28" w14:textId="77777777" w:rsidR="00D24A4B" w:rsidRPr="00273184" w:rsidRDefault="00D24A4B" w:rsidP="00486253">
      <w:pPr>
        <w:keepNext/>
        <w:numPr>
          <w:ilvl w:val="0"/>
          <w:numId w:val="40"/>
        </w:numPr>
        <w:shd w:val="clear" w:color="auto" w:fill="E2EFD9" w:themeFill="accent6" w:themeFillTint="33"/>
        <w:spacing w:after="120" w:line="240" w:lineRule="auto"/>
        <w:rPr>
          <w:rFonts w:ascii="Arial" w:eastAsia="PMingLiU" w:hAnsi="Arial" w:cs="Times New Roman"/>
          <w:szCs w:val="20"/>
        </w:rPr>
      </w:pPr>
      <w:r w:rsidRPr="00273184">
        <w:rPr>
          <w:rFonts w:ascii="Arial" w:eastAsia="PMingLiU" w:hAnsi="Arial" w:cs="Times New Roman"/>
          <w:szCs w:val="20"/>
        </w:rPr>
        <w:t xml:space="preserve">HPE monitors amount of capacity being used and will deploy additional infrastructure as needed with change order from Purchasing Entity. </w:t>
      </w:r>
    </w:p>
    <w:p w14:paraId="4A3474CA" w14:textId="77777777" w:rsidR="00D24A4B" w:rsidRDefault="00D24A4B" w:rsidP="00D24A4B">
      <w:pPr>
        <w:pStyle w:val="Bullet1Double0"/>
        <w:shd w:val="clear" w:color="auto" w:fill="DBDCDD"/>
        <w:ind w:left="720" w:hanging="720"/>
      </w:pPr>
      <w:r>
        <w:t>8.22.1</w:t>
      </w:r>
      <w:r>
        <w:tab/>
        <w:t>Describe what infrastructure is required by the Purchasing Entity to support your Solutions or deployment models.</w:t>
      </w:r>
    </w:p>
    <w:p w14:paraId="5971544E" w14:textId="77777777" w:rsidR="00D24A4B" w:rsidRDefault="00D24A4B" w:rsidP="00D24A4B">
      <w:pPr>
        <w:pStyle w:val="Response"/>
      </w:pPr>
      <w:r>
        <w:t>Response:</w:t>
      </w:r>
    </w:p>
    <w:p w14:paraId="6BBC15E4" w14:textId="77777777" w:rsidR="00D24A4B" w:rsidRPr="005757D3" w:rsidRDefault="00D24A4B" w:rsidP="00D24A4B">
      <w:pPr>
        <w:pStyle w:val="BodyText"/>
      </w:pPr>
      <w:r w:rsidRPr="00FC426C">
        <w:t xml:space="preserve">HPE </w:t>
      </w:r>
      <w:r>
        <w:t>GreenLake Flex Capacity Packages</w:t>
      </w:r>
      <w:r w:rsidRPr="00FC426C">
        <w:t xml:space="preserve"> is an Infrastructure-as-a-Service offering</w:t>
      </w:r>
      <w:r>
        <w:t xml:space="preserve">s that includes all the infrastructure. </w:t>
      </w:r>
      <w:r w:rsidRPr="00FC426C">
        <w:t xml:space="preserve">It is deployed </w:t>
      </w:r>
      <w:r>
        <w:t xml:space="preserve">at the </w:t>
      </w:r>
      <w:r w:rsidRPr="00FC426C">
        <w:t>Purchasing Entity clients on their premise.</w:t>
      </w:r>
    </w:p>
    <w:p w14:paraId="29A0B8B3" w14:textId="77777777" w:rsidR="00D24A4B" w:rsidRDefault="00D24A4B" w:rsidP="00D24A4B">
      <w:pPr>
        <w:pStyle w:val="Bullet1Double0"/>
        <w:shd w:val="clear" w:color="auto" w:fill="DBDCDD"/>
        <w:ind w:left="720" w:hanging="720"/>
      </w:pPr>
      <w:r>
        <w:t>8.22.2</w:t>
      </w:r>
      <w:r>
        <w:tab/>
        <w:t>If required, who will be responsible for installation of new infrastructure and who will incur those costs?</w:t>
      </w:r>
    </w:p>
    <w:p w14:paraId="15DA8206" w14:textId="77777777" w:rsidR="00D24A4B" w:rsidRDefault="00D24A4B" w:rsidP="00D24A4B">
      <w:pPr>
        <w:pStyle w:val="Response"/>
      </w:pPr>
      <w:r>
        <w:lastRenderedPageBreak/>
        <w:t>Response:</w:t>
      </w:r>
    </w:p>
    <w:p w14:paraId="6DE5AAB5" w14:textId="4FBF4FC0" w:rsidR="000A3974" w:rsidRDefault="00D24A4B" w:rsidP="00D24A4B">
      <w:pPr>
        <w:pStyle w:val="BodyText"/>
      </w:pPr>
      <w:r w:rsidRPr="009901E4">
        <w:t xml:space="preserve">HPE will provide standard </w:t>
      </w:r>
      <w:r w:rsidRPr="001B3F84">
        <w:t>installation</w:t>
      </w:r>
      <w:r w:rsidRPr="00033204">
        <w:t xml:space="preserve"> </w:t>
      </w:r>
      <w:r>
        <w:t>services for the implementation of HPE Systems as part of the GreenLake Flexible C</w:t>
      </w:r>
      <w:r w:rsidRPr="00033204">
        <w:t xml:space="preserve">apacity </w:t>
      </w:r>
      <w:r>
        <w:t>Services. The costs for installation are included in the price for the GreenLake Services</w:t>
      </w:r>
      <w:r>
        <w:t>.</w:t>
      </w:r>
    </w:p>
    <w:sectPr w:rsidR="000A3974" w:rsidSect="00E8050A">
      <w:headerReference w:type="default" r:id="rId49"/>
      <w:footerReference w:type="default" r:id="rId50"/>
      <w:pgSz w:w="12242" w:h="15842" w:code="1"/>
      <w:pgMar w:top="360" w:right="720" w:bottom="1080" w:left="2664" w:header="475"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85DAD7" w14:textId="77777777" w:rsidR="00486253" w:rsidRDefault="00486253">
      <w:pPr>
        <w:pStyle w:val="BodyText"/>
      </w:pPr>
      <w:r>
        <w:separator/>
      </w:r>
    </w:p>
  </w:endnote>
  <w:endnote w:type="continuationSeparator" w:id="0">
    <w:p w14:paraId="7D87658C" w14:textId="77777777" w:rsidR="00486253" w:rsidRDefault="00486253">
      <w:pPr>
        <w:pStyle w:val="BodyText"/>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n-ea">
    <w:panose1 w:val="00000000000000000000"/>
    <w:charset w:val="00"/>
    <w:family w:val="roman"/>
    <w:notTrueType/>
    <w:pitch w:val="default"/>
  </w:font>
  <w:font w:name="+mn-cs">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MetricHPE-Bold">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FF3409" w14:textId="77777777" w:rsidR="00D24A4B" w:rsidRDefault="00D24A4B" w:rsidP="005934EC">
    <w:pPr>
      <w:pStyle w:val="BlindParagraph"/>
    </w:pPr>
  </w:p>
  <w:p w14:paraId="5B7C23EC" w14:textId="77777777" w:rsidR="00D24A4B" w:rsidRDefault="00D24A4B" w:rsidP="00F5627A">
    <w:pPr>
      <w:pStyle w:val="Footer"/>
    </w:pPr>
    <w:r>
      <w:rPr>
        <w:noProof/>
        <w:lang w:val="en-GB" w:eastAsia="en-GB"/>
      </w:rPr>
      <w:drawing>
        <wp:anchor distT="0" distB="0" distL="114300" distR="114300" simplePos="0" relativeHeight="251710464" behindDoc="0" locked="0" layoutInCell="1" allowOverlap="1" wp14:anchorId="7383860C" wp14:editId="17BA7206">
          <wp:simplePos x="0" y="0"/>
          <wp:positionH relativeFrom="column">
            <wp:posOffset>-1088390</wp:posOffset>
          </wp:positionH>
          <wp:positionV relativeFrom="paragraph">
            <wp:posOffset>64135</wp:posOffset>
          </wp:positionV>
          <wp:extent cx="971550" cy="409575"/>
          <wp:effectExtent l="0" t="0" r="0" b="9525"/>
          <wp:wrapNone/>
          <wp:docPr id="116" name="Picture 116" descr="logo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logofoot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4095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rPr>
      <mc:AlternateContent>
        <mc:Choice Requires="wps">
          <w:drawing>
            <wp:anchor distT="0" distB="0" distL="114300" distR="114300" simplePos="0" relativeHeight="251709440" behindDoc="0" locked="0" layoutInCell="1" allowOverlap="1" wp14:anchorId="66B506CD" wp14:editId="49D2D045">
              <wp:simplePos x="0" y="0"/>
              <wp:positionH relativeFrom="column">
                <wp:posOffset>8255</wp:posOffset>
              </wp:positionH>
              <wp:positionV relativeFrom="paragraph">
                <wp:posOffset>79375</wp:posOffset>
              </wp:positionV>
              <wp:extent cx="5622925" cy="0"/>
              <wp:effectExtent l="0" t="0" r="0" b="0"/>
              <wp:wrapNone/>
              <wp:docPr id="97" name="Line 147" descr="footer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22925" cy="0"/>
                      </a:xfrm>
                      <a:prstGeom prst="line">
                        <a:avLst/>
                      </a:prstGeom>
                      <a:noFill/>
                      <a:ln w="19050">
                        <a:solidFill>
                          <a:srgbClr val="00B38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FD7735" id="Line 147" o:spid="_x0000_s1026" alt="footerline"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pt,6.25pt" to="443.4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" strokecolor="#00b388" strokeweight="1.5pt"/>
          </w:pict>
        </mc:Fallback>
      </mc:AlternateContent>
    </w:r>
  </w:p>
  <w:p w14:paraId="447AE8E1" w14:textId="77777777" w:rsidR="00D24A4B" w:rsidRDefault="00D24A4B" w:rsidP="00F5627A">
    <w:pPr>
      <w:pStyle w:val="Footer"/>
    </w:pPr>
    <w:r w:rsidRPr="00426512">
      <w:rPr>
        <w:sz w:val="16"/>
      </w:rPr>
      <w:tab/>
    </w:r>
    <w:r>
      <w:t>Page-</w:t>
    </w:r>
    <w:r>
      <w:rPr>
        <w:rStyle w:val="PageNumber"/>
        <w:szCs w:val="16"/>
      </w:rPr>
      <w:fldChar w:fldCharType="begin"/>
    </w:r>
    <w:r>
      <w:rPr>
        <w:rStyle w:val="PageNumber"/>
        <w:szCs w:val="16"/>
      </w:rPr>
      <w:instrText xml:space="preserve"> PAGE </w:instrText>
    </w:r>
    <w:r>
      <w:rPr>
        <w:rStyle w:val="PageNumber"/>
        <w:szCs w:val="16"/>
      </w:rPr>
      <w:fldChar w:fldCharType="separate"/>
    </w:r>
    <w:r w:rsidR="00092841">
      <w:rPr>
        <w:rStyle w:val="PageNumber"/>
        <w:noProof/>
        <w:szCs w:val="16"/>
      </w:rPr>
      <w:t>2</w:t>
    </w:r>
    <w:r>
      <w:rPr>
        <w:rStyle w:val="PageNumber"/>
        <w:szCs w:val="16"/>
      </w:rPr>
      <w:fldChar w:fldCharType="end"/>
    </w:r>
  </w:p>
  <w:p w14:paraId="3A44D8E7" w14:textId="77777777" w:rsidR="00D24A4B" w:rsidRDefault="00D24A4B" w:rsidP="00F5627A">
    <w:pPr>
      <w:pStyle w:val="Footer"/>
    </w:pPr>
    <w:r w:rsidRPr="00426512">
      <w:rPr>
        <w:sz w:val="16"/>
      </w:rPr>
      <w:tab/>
    </w:r>
    <w:r>
      <w:t>BNA/SLEDW/18421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548DDD" w14:textId="77777777" w:rsidR="00AD482D" w:rsidRDefault="00AD482D" w:rsidP="005934EC">
    <w:pPr>
      <w:pStyle w:val="BlindParagraph"/>
    </w:pPr>
  </w:p>
  <w:p w14:paraId="0ED335B3" w14:textId="66D1DC4C" w:rsidR="00AD482D" w:rsidRDefault="002E6B3D" w:rsidP="00F5627A">
    <w:pPr>
      <w:pStyle w:val="Footer"/>
    </w:pPr>
    <w:r>
      <w:rPr>
        <w:noProof/>
        <w:lang w:val="en-GB" w:eastAsia="en-GB"/>
      </w:rPr>
      <w:drawing>
        <wp:anchor distT="0" distB="0" distL="114300" distR="114300" simplePos="0" relativeHeight="251705344" behindDoc="0" locked="0" layoutInCell="1" allowOverlap="1" wp14:anchorId="5374999E" wp14:editId="6C3C77EE">
          <wp:simplePos x="0" y="0"/>
          <wp:positionH relativeFrom="column">
            <wp:posOffset>-1088390</wp:posOffset>
          </wp:positionH>
          <wp:positionV relativeFrom="paragraph">
            <wp:posOffset>64135</wp:posOffset>
          </wp:positionV>
          <wp:extent cx="971550" cy="409575"/>
          <wp:effectExtent l="0" t="0" r="0" b="9525"/>
          <wp:wrapNone/>
          <wp:docPr id="150" name="Picture 150" descr="logo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logofoot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4095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rPr>
      <mc:AlternateContent>
        <mc:Choice Requires="wps">
          <w:drawing>
            <wp:anchor distT="0" distB="0" distL="114300" distR="114300" simplePos="0" relativeHeight="251659264" behindDoc="0" locked="0" layoutInCell="1" allowOverlap="1" wp14:anchorId="3B362288" wp14:editId="4945358E">
              <wp:simplePos x="0" y="0"/>
              <wp:positionH relativeFrom="column">
                <wp:posOffset>8255</wp:posOffset>
              </wp:positionH>
              <wp:positionV relativeFrom="paragraph">
                <wp:posOffset>79375</wp:posOffset>
              </wp:positionV>
              <wp:extent cx="5622925" cy="0"/>
              <wp:effectExtent l="0" t="0" r="0" b="0"/>
              <wp:wrapNone/>
              <wp:docPr id="1" name="Line 147" descr="footer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22925" cy="0"/>
                      </a:xfrm>
                      <a:prstGeom prst="line">
                        <a:avLst/>
                      </a:prstGeom>
                      <a:noFill/>
                      <a:ln w="19050">
                        <a:solidFill>
                          <a:srgbClr val="00B38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05C40A" id="Line 147" o:spid="_x0000_s1026" alt="footerline"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pt,6.25pt" to="443.4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" strokecolor="#00b388" strokeweight="1.5pt"/>
          </w:pict>
        </mc:Fallback>
      </mc:AlternateContent>
    </w:r>
  </w:p>
  <w:p w14:paraId="27741F9F" w14:textId="16E20CC3" w:rsidR="00510731" w:rsidRDefault="00AD482D" w:rsidP="00510731">
    <w:pPr>
      <w:pStyle w:val="Footer"/>
    </w:pPr>
    <w:r w:rsidRPr="00426512">
      <w:rPr>
        <w:sz w:val="16"/>
      </w:rPr>
      <w:tab/>
    </w:r>
    <w:r w:rsidR="00510731">
      <w:t>Page-</w:t>
    </w:r>
    <w:r w:rsidR="00510731">
      <w:rPr>
        <w:rStyle w:val="PageNumber"/>
        <w:szCs w:val="16"/>
      </w:rPr>
      <w:fldChar w:fldCharType="begin"/>
    </w:r>
    <w:r w:rsidR="00510731">
      <w:rPr>
        <w:rStyle w:val="PageNumber"/>
        <w:szCs w:val="16"/>
      </w:rPr>
      <w:instrText xml:space="preserve"> PAGE </w:instrText>
    </w:r>
    <w:r w:rsidR="00510731">
      <w:rPr>
        <w:rStyle w:val="PageNumber"/>
        <w:szCs w:val="16"/>
      </w:rPr>
      <w:fldChar w:fldCharType="separate"/>
    </w:r>
    <w:r w:rsidR="00092841">
      <w:rPr>
        <w:rStyle w:val="PageNumber"/>
        <w:noProof/>
        <w:szCs w:val="16"/>
      </w:rPr>
      <w:t>32</w:t>
    </w:r>
    <w:r w:rsidR="00510731">
      <w:rPr>
        <w:rStyle w:val="PageNumber"/>
        <w:szCs w:val="16"/>
      </w:rPr>
      <w:fldChar w:fldCharType="end"/>
    </w:r>
  </w:p>
  <w:p w14:paraId="7291FA54" w14:textId="2CEDED01" w:rsidR="00AD482D" w:rsidRDefault="00510731" w:rsidP="00510731">
    <w:pPr>
      <w:pStyle w:val="Footer"/>
    </w:pPr>
    <w:r w:rsidRPr="00426512">
      <w:rPr>
        <w:sz w:val="16"/>
      </w:rPr>
      <w:tab/>
    </w:r>
    <w:r>
      <w:t>BNA/SLEDW/18421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5A1E81" w14:textId="77777777" w:rsidR="00486253" w:rsidRDefault="00486253">
      <w:pPr>
        <w:pStyle w:val="BodyText"/>
      </w:pPr>
      <w:r>
        <w:separator/>
      </w:r>
    </w:p>
  </w:footnote>
  <w:footnote w:type="continuationSeparator" w:id="0">
    <w:p w14:paraId="778AC168" w14:textId="77777777" w:rsidR="00486253" w:rsidRDefault="00486253">
      <w:pPr>
        <w:pStyle w:val="BodyText"/>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202825" w14:textId="77777777" w:rsidR="00D24A4B" w:rsidRDefault="00D24A4B" w:rsidP="00AD7614">
    <w:pPr>
      <w:pStyle w:val="Header0"/>
    </w:pPr>
    <w:r>
      <w:tab/>
      <w:t>HPE Response to State of Utah</w:t>
    </w:r>
  </w:p>
  <w:p w14:paraId="4EB0EF74" w14:textId="77777777" w:rsidR="00D24A4B" w:rsidRDefault="00D24A4B" w:rsidP="00AD7614">
    <w:pPr>
      <w:pStyle w:val="Header0"/>
    </w:pPr>
    <w:r>
      <w:tab/>
      <w:t>June 21, 2018</w:t>
    </w:r>
  </w:p>
  <w:p w14:paraId="74DF1113" w14:textId="77777777" w:rsidR="00D24A4B" w:rsidRDefault="00D24A4B" w:rsidP="00AD7614">
    <w:pPr>
      <w:pStyle w:val="Header0"/>
    </w:pPr>
    <w:r>
      <w:rPr>
        <w:noProof/>
        <w:lang w:val="en-GB" w:eastAsia="en-GB"/>
      </w:rPr>
      <mc:AlternateContent>
        <mc:Choice Requires="wps">
          <w:drawing>
            <wp:anchor distT="0" distB="0" distL="114300" distR="114300" simplePos="0" relativeHeight="251707392" behindDoc="0" locked="0" layoutInCell="1" allowOverlap="1" wp14:anchorId="4377ED10" wp14:editId="6ACE49AA">
              <wp:simplePos x="0" y="0"/>
              <wp:positionH relativeFrom="column">
                <wp:posOffset>0</wp:posOffset>
              </wp:positionH>
              <wp:positionV relativeFrom="paragraph">
                <wp:posOffset>43815</wp:posOffset>
              </wp:positionV>
              <wp:extent cx="5622925" cy="0"/>
              <wp:effectExtent l="0" t="0" r="0" b="0"/>
              <wp:wrapNone/>
              <wp:docPr id="91" name="Line 144" descr="header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22925" cy="0"/>
                      </a:xfrm>
                      <a:prstGeom prst="line">
                        <a:avLst/>
                      </a:prstGeom>
                      <a:noFill/>
                      <a:ln w="57150">
                        <a:solidFill>
                          <a:srgbClr val="00B38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B082A4" id="Line 144" o:spid="_x0000_s1026" alt="headerline"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45pt" to="442.7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" strokecolor="#00b388" strokeweight="4.5pt"/>
          </w:pict>
        </mc:Fallback>
      </mc:AlternateContent>
    </w:r>
    <w:r>
      <w:rPr>
        <w:noProof/>
        <w:lang w:val="en-GB" w:eastAsia="en-GB"/>
      </w:rPr>
      <mc:AlternateContent>
        <mc:Choice Requires="wps">
          <w:drawing>
            <wp:anchor distT="0" distB="0" distL="114300" distR="114300" simplePos="0" relativeHeight="251708416" behindDoc="0" locked="0" layoutInCell="1" allowOverlap="1" wp14:anchorId="06ECEA35" wp14:editId="49E1B903">
              <wp:simplePos x="0" y="0"/>
              <wp:positionH relativeFrom="column">
                <wp:posOffset>-1187450</wp:posOffset>
              </wp:positionH>
              <wp:positionV relativeFrom="paragraph">
                <wp:posOffset>-335915</wp:posOffset>
              </wp:positionV>
              <wp:extent cx="868680" cy="868680"/>
              <wp:effectExtent l="0" t="0" r="0" b="0"/>
              <wp:wrapNone/>
              <wp:docPr id="92" name="Text Box 145" descr="logoheade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8680" cy="868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FAC99" w14:textId="77777777" w:rsidR="00D24A4B" w:rsidRDefault="00D24A4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ECEA35" id="_x0000_t202" coordsize="21600,21600" o:spt="202" path="m,l,21600r21600,l21600,xe">
              <v:stroke joinstyle="miter"/>
              <v:path gradientshapeok="t" o:connecttype="rect"/>
            </v:shapetype>
            <v:shape id="Text Box 145" o:spid="_x0000_s1033" type="#_x0000_t202" alt="logoheader" style="position:absolute;left:0;text-align:left;margin-left:-93.5pt;margin-top:-26.45pt;width:68.4pt;height:68.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" stroked="f">
              <v:textbox>
                <w:txbxContent>
                  <w:p w14:paraId="1A6FAC99" w14:textId="77777777" w:rsidR="00D24A4B" w:rsidRDefault="00D24A4B"/>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185FE3" w14:textId="77777777" w:rsidR="00510731" w:rsidRDefault="00AD482D" w:rsidP="00510731">
    <w:pPr>
      <w:pStyle w:val="Header0"/>
    </w:pPr>
    <w:r>
      <w:tab/>
    </w:r>
    <w:r w:rsidR="00510731">
      <w:t>HPE Response to State of Utah</w:t>
    </w:r>
  </w:p>
  <w:p w14:paraId="181927DD" w14:textId="7B232EB9" w:rsidR="00AD482D" w:rsidRDefault="00510731" w:rsidP="00510731">
    <w:pPr>
      <w:pStyle w:val="Header0"/>
    </w:pPr>
    <w:r>
      <w:tab/>
      <w:t>July 6, 2018</w:t>
    </w:r>
  </w:p>
  <w:p w14:paraId="181B0F59" w14:textId="4FC556EA" w:rsidR="00AD482D" w:rsidRDefault="002E6B3D" w:rsidP="00AD7614">
    <w:pPr>
      <w:pStyle w:val="Header0"/>
    </w:pPr>
    <w:r>
      <w:rPr>
        <w:noProof/>
        <w:lang w:val="en-GB" w:eastAsia="en-GB"/>
      </w:rPr>
      <mc:AlternateContent>
        <mc:Choice Requires="wps">
          <w:drawing>
            <wp:anchor distT="0" distB="0" distL="114300" distR="114300" simplePos="0" relativeHeight="251611136" behindDoc="0" locked="0" layoutInCell="1" allowOverlap="1" wp14:anchorId="7314C0CA" wp14:editId="292D73EF">
              <wp:simplePos x="0" y="0"/>
              <wp:positionH relativeFrom="column">
                <wp:posOffset>0</wp:posOffset>
              </wp:positionH>
              <wp:positionV relativeFrom="paragraph">
                <wp:posOffset>43815</wp:posOffset>
              </wp:positionV>
              <wp:extent cx="5622925" cy="0"/>
              <wp:effectExtent l="0" t="0" r="0" b="0"/>
              <wp:wrapNone/>
              <wp:docPr id="3" name="Line 144" descr="header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22925" cy="0"/>
                      </a:xfrm>
                      <a:prstGeom prst="line">
                        <a:avLst/>
                      </a:prstGeom>
                      <a:noFill/>
                      <a:ln w="57150">
                        <a:solidFill>
                          <a:srgbClr val="00B38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583E1D" id="Line 144" o:spid="_x0000_s1026" alt="headerline" style="position:absolute;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45pt" to="442.7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" strokecolor="#00b388" strokeweight="4.5pt"/>
          </w:pict>
        </mc:Fallback>
      </mc:AlternateContent>
    </w:r>
    <w:r>
      <w:rPr>
        <w:noProof/>
        <w:lang w:val="en-GB" w:eastAsia="en-GB"/>
      </w:rPr>
      <mc:AlternateContent>
        <mc:Choice Requires="wps">
          <w:drawing>
            <wp:anchor distT="0" distB="0" distL="114300" distR="114300" simplePos="0" relativeHeight="251613184" behindDoc="0" locked="0" layoutInCell="1" allowOverlap="1" wp14:anchorId="7E3507AE" wp14:editId="4967ABC5">
              <wp:simplePos x="0" y="0"/>
              <wp:positionH relativeFrom="column">
                <wp:posOffset>-1187450</wp:posOffset>
              </wp:positionH>
              <wp:positionV relativeFrom="paragraph">
                <wp:posOffset>-335915</wp:posOffset>
              </wp:positionV>
              <wp:extent cx="868680" cy="868680"/>
              <wp:effectExtent l="0" t="0" r="0" b="0"/>
              <wp:wrapNone/>
              <wp:docPr id="2" name="Text Box 145" descr="logoheade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8680" cy="868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C4927E" w14:textId="77777777" w:rsidR="00AD482D" w:rsidRDefault="00AD482D">
                          <w:bookmarkStart w:id="63" w:name="LogoHeader"/>
                          <w:bookmarkEnd w:id="63"/>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3507AE" id="_x0000_t202" coordsize="21600,21600" o:spt="202" path="m,l,21600r21600,l21600,xe">
              <v:stroke joinstyle="miter"/>
              <v:path gradientshapeok="t" o:connecttype="rect"/>
            </v:shapetype>
            <v:shape id="_x0000_s1034" type="#_x0000_t202" alt="logoheader" style="position:absolute;left:0;text-align:left;margin-left:-93.5pt;margin-top:-26.45pt;width:68.4pt;height:68.4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" stroked="f">
              <v:textbox>
                <w:txbxContent>
                  <w:p w14:paraId="47C4927E" w14:textId="77777777" w:rsidR="00AD482D" w:rsidRDefault="00AD482D">
                    <w:bookmarkStart w:id="64" w:name="LogoHeader"/>
                    <w:bookmarkEnd w:id="64"/>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C1B87"/>
    <w:multiLevelType w:val="hybridMultilevel"/>
    <w:tmpl w:val="D098FF4A"/>
    <w:lvl w:ilvl="0" w:tplc="666E29D4">
      <w:start w:val="1"/>
      <w:numFmt w:val="bullet"/>
      <w:pStyle w:val="TableText10Bullet1Single"/>
      <w:lvlText w:val=""/>
      <w:lvlJc w:val="left"/>
      <w:pPr>
        <w:ind w:left="720" w:hanging="360"/>
      </w:pPr>
      <w:rPr>
        <w:rFonts w:ascii="Symbol" w:hAnsi="Symbol" w:hint="default"/>
        <w:b w:val="0"/>
        <w:i w:val="0"/>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FB571B"/>
    <w:multiLevelType w:val="hybridMultilevel"/>
    <w:tmpl w:val="5FE65110"/>
    <w:lvl w:ilvl="0" w:tplc="A38226F4">
      <w:numFmt w:val="none"/>
      <w:pStyle w:val="BulletSubnumber"/>
      <w:lvlText w:val=""/>
      <w:lvlJc w:val="left"/>
      <w:pPr>
        <w:tabs>
          <w:tab w:val="num" w:pos="36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53625FB"/>
    <w:multiLevelType w:val="hybridMultilevel"/>
    <w:tmpl w:val="F9968804"/>
    <w:lvl w:ilvl="0" w:tplc="952AF036">
      <w:start w:val="1"/>
      <w:numFmt w:val="bullet"/>
      <w:pStyle w:val="Index5"/>
      <w:lvlText w:val=""/>
      <w:lvlJc w:val="left"/>
      <w:pPr>
        <w:tabs>
          <w:tab w:val="num" w:pos="360"/>
        </w:tabs>
        <w:ind w:left="360" w:hanging="360"/>
      </w:pPr>
      <w:rPr>
        <w:rFonts w:ascii="Symbol" w:hAnsi="Symbol" w:hint="default"/>
        <w:b w:val="0"/>
        <w:i w:val="0"/>
        <w:color w:val="FFFFFF"/>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662DD5"/>
    <w:multiLevelType w:val="hybridMultilevel"/>
    <w:tmpl w:val="01BA7B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627828"/>
    <w:multiLevelType w:val="hybridMultilevel"/>
    <w:tmpl w:val="2ADCC224"/>
    <w:lvl w:ilvl="0" w:tplc="AF106CC4">
      <w:start w:val="1"/>
      <w:numFmt w:val="bullet"/>
      <w:pStyle w:val="Bullet3Double"/>
      <w:lvlText w:val=""/>
      <w:lvlJc w:val="left"/>
      <w:pPr>
        <w:tabs>
          <w:tab w:val="num" w:pos="1080"/>
        </w:tabs>
        <w:ind w:left="1080" w:hanging="360"/>
      </w:pPr>
      <w:rPr>
        <w:rFonts w:ascii="Symbol" w:hAnsi="Symbol" w:hint="default"/>
        <w:b w:val="0"/>
        <w:i w:val="0"/>
        <w:color w:val="auto"/>
        <w:sz w:val="22"/>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9CA428B"/>
    <w:multiLevelType w:val="hybridMultilevel"/>
    <w:tmpl w:val="E3E2F070"/>
    <w:lvl w:ilvl="0" w:tplc="3E92C344">
      <w:start w:val="1"/>
      <w:numFmt w:val="none"/>
      <w:pStyle w:val="Bullet3Single"/>
      <w:lvlText w:val=""/>
      <w:lvlJc w:val="left"/>
      <w:pPr>
        <w:tabs>
          <w:tab w:val="num" w:pos="720"/>
        </w:tabs>
        <w:ind w:left="1080" w:hanging="10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F347801"/>
    <w:multiLevelType w:val="hybridMultilevel"/>
    <w:tmpl w:val="9AA66206"/>
    <w:lvl w:ilvl="0" w:tplc="A038146A">
      <w:start w:val="1"/>
      <w:numFmt w:val="none"/>
      <w:pStyle w:val="Bullet3Double0"/>
      <w:lvlText w:val=""/>
      <w:lvlJc w:val="left"/>
      <w:pPr>
        <w:tabs>
          <w:tab w:val="num" w:pos="720"/>
        </w:tabs>
        <w:ind w:left="1080" w:hanging="10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83A13A5"/>
    <w:multiLevelType w:val="hybridMultilevel"/>
    <w:tmpl w:val="774AF29E"/>
    <w:lvl w:ilvl="0" w:tplc="04601944">
      <w:start w:val="1"/>
      <w:numFmt w:val="none"/>
      <w:pStyle w:val="Bullet4Single"/>
      <w:lvlText w:val=""/>
      <w:lvlJc w:val="left"/>
      <w:pPr>
        <w:tabs>
          <w:tab w:val="num" w:pos="1080"/>
        </w:tabs>
        <w:ind w:left="1440" w:hanging="14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AED34C1"/>
    <w:multiLevelType w:val="hybridMultilevel"/>
    <w:tmpl w:val="9E1637A2"/>
    <w:lvl w:ilvl="0" w:tplc="6786EF72">
      <w:start w:val="1"/>
      <w:numFmt w:val="none"/>
      <w:pStyle w:val="Bullet3SubtextDouble"/>
      <w:lvlText w:val=""/>
      <w:lvlJc w:val="left"/>
      <w:pPr>
        <w:tabs>
          <w:tab w:val="num" w:pos="1080"/>
        </w:tabs>
        <w:ind w:left="1080" w:hanging="10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1B8166BA"/>
    <w:multiLevelType w:val="hybridMultilevel"/>
    <w:tmpl w:val="6088B66E"/>
    <w:lvl w:ilvl="0" w:tplc="33082830">
      <w:numFmt w:val="none"/>
      <w:pStyle w:val="Bullet5Double"/>
      <w:lvlText w:val=""/>
      <w:lvlJc w:val="left"/>
      <w:pPr>
        <w:tabs>
          <w:tab w:val="num" w:pos="1440"/>
        </w:tabs>
        <w:ind w:left="1800" w:hanging="180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EDC1683"/>
    <w:multiLevelType w:val="hybridMultilevel"/>
    <w:tmpl w:val="E81AC126"/>
    <w:lvl w:ilvl="0" w:tplc="46AA5F18">
      <w:start w:val="1"/>
      <w:numFmt w:val="none"/>
      <w:pStyle w:val="Bullet4Double"/>
      <w:lvlText w:val=""/>
      <w:lvlJc w:val="left"/>
      <w:pPr>
        <w:tabs>
          <w:tab w:val="num" w:pos="1080"/>
        </w:tabs>
        <w:ind w:left="1440" w:hanging="14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1933DBE"/>
    <w:multiLevelType w:val="hybridMultilevel"/>
    <w:tmpl w:val="359C06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3EE20EB"/>
    <w:multiLevelType w:val="multilevel"/>
    <w:tmpl w:val="36F0EFAC"/>
    <w:lvl w:ilvl="0">
      <w:start w:val="1"/>
      <w:numFmt w:val="bullet"/>
      <w:pStyle w:val="HPBullet"/>
      <w:lvlText w:val=""/>
      <w:lvlJc w:val="left"/>
      <w:pPr>
        <w:tabs>
          <w:tab w:val="num" w:pos="3096"/>
        </w:tabs>
        <w:ind w:left="3096" w:hanging="360"/>
      </w:pPr>
      <w:rPr>
        <w:rFonts w:ascii="Symbol" w:hAnsi="Symbol" w:hint="default"/>
        <w:color w:val="auto"/>
      </w:rPr>
    </w:lvl>
    <w:lvl w:ilvl="1">
      <w:start w:val="1"/>
      <w:numFmt w:val="bullet"/>
      <w:lvlText w:val="–"/>
      <w:lvlJc w:val="left"/>
      <w:pPr>
        <w:tabs>
          <w:tab w:val="num" w:pos="3456"/>
        </w:tabs>
        <w:ind w:left="3456" w:hanging="360"/>
      </w:pPr>
      <w:rPr>
        <w:rFonts w:ascii="Calibri" w:hAnsi="Calibri" w:hint="default"/>
        <w:b w:val="0"/>
        <w:i w:val="0"/>
      </w:rPr>
    </w:lvl>
    <w:lvl w:ilvl="2">
      <w:start w:val="1"/>
      <w:numFmt w:val="bullet"/>
      <w:lvlRestart w:val="1"/>
      <w:lvlText w:val=""/>
      <w:lvlJc w:val="left"/>
      <w:pPr>
        <w:tabs>
          <w:tab w:val="num" w:pos="3816"/>
        </w:tabs>
        <w:ind w:left="3816" w:hanging="360"/>
      </w:pPr>
      <w:rPr>
        <w:rFonts w:ascii="Symbol" w:hAnsi="Symbol" w:hint="default"/>
        <w:color w:val="auto"/>
      </w:rPr>
    </w:lvl>
    <w:lvl w:ilvl="3">
      <w:start w:val="1"/>
      <w:numFmt w:val="bullet"/>
      <w:lvlText w:val=""/>
      <w:lvlJc w:val="left"/>
      <w:pPr>
        <w:tabs>
          <w:tab w:val="num" w:pos="2880"/>
        </w:tabs>
        <w:ind w:left="4176" w:hanging="360"/>
      </w:pPr>
      <w:rPr>
        <w:rFonts w:ascii="Symbol" w:hAnsi="Symbol" w:hint="default"/>
      </w:rPr>
    </w:lvl>
    <w:lvl w:ilvl="4">
      <w:start w:val="1"/>
      <w:numFmt w:val="bullet"/>
      <w:lvlText w:val="o"/>
      <w:lvlJc w:val="left"/>
      <w:pPr>
        <w:tabs>
          <w:tab w:val="num" w:pos="3600"/>
        </w:tabs>
        <w:ind w:left="4536" w:hanging="360"/>
      </w:pPr>
      <w:rPr>
        <w:rFonts w:ascii="Courier New" w:hAnsi="Courier New" w:cs="Courier New" w:hint="default"/>
      </w:rPr>
    </w:lvl>
    <w:lvl w:ilvl="5">
      <w:start w:val="1"/>
      <w:numFmt w:val="bullet"/>
      <w:lvlText w:val=""/>
      <w:lvlJc w:val="left"/>
      <w:pPr>
        <w:tabs>
          <w:tab w:val="num" w:pos="4320"/>
        </w:tabs>
        <w:ind w:left="4896" w:hanging="360"/>
      </w:pPr>
      <w:rPr>
        <w:rFonts w:ascii="Wingdings" w:hAnsi="Wingdings" w:hint="default"/>
      </w:rPr>
    </w:lvl>
    <w:lvl w:ilvl="6">
      <w:start w:val="1"/>
      <w:numFmt w:val="bullet"/>
      <w:lvlText w:val=""/>
      <w:lvlJc w:val="left"/>
      <w:pPr>
        <w:tabs>
          <w:tab w:val="num" w:pos="5040"/>
        </w:tabs>
        <w:ind w:left="5256" w:hanging="360"/>
      </w:pPr>
      <w:rPr>
        <w:rFonts w:ascii="Symbol" w:hAnsi="Symbol" w:hint="default"/>
      </w:rPr>
    </w:lvl>
    <w:lvl w:ilvl="7">
      <w:start w:val="1"/>
      <w:numFmt w:val="bullet"/>
      <w:lvlText w:val="o"/>
      <w:lvlJc w:val="left"/>
      <w:pPr>
        <w:tabs>
          <w:tab w:val="num" w:pos="5760"/>
        </w:tabs>
        <w:ind w:left="5616" w:hanging="360"/>
      </w:pPr>
      <w:rPr>
        <w:rFonts w:ascii="Courier New" w:hAnsi="Courier New" w:cs="Courier New" w:hint="default"/>
      </w:rPr>
    </w:lvl>
    <w:lvl w:ilvl="8">
      <w:start w:val="1"/>
      <w:numFmt w:val="bullet"/>
      <w:lvlText w:val=""/>
      <w:lvlJc w:val="left"/>
      <w:pPr>
        <w:tabs>
          <w:tab w:val="num" w:pos="6480"/>
        </w:tabs>
        <w:ind w:left="5976" w:hanging="360"/>
      </w:pPr>
      <w:rPr>
        <w:rFonts w:ascii="Wingdings" w:hAnsi="Wingdings" w:hint="default"/>
      </w:rPr>
    </w:lvl>
  </w:abstractNum>
  <w:abstractNum w:abstractNumId="13" w15:restartNumberingAfterBreak="0">
    <w:nsid w:val="26536BEC"/>
    <w:multiLevelType w:val="hybridMultilevel"/>
    <w:tmpl w:val="9A5E9CC6"/>
    <w:lvl w:ilvl="0" w:tplc="5B0E9DEE">
      <w:numFmt w:val="none"/>
      <w:pStyle w:val="Bullet1SubtextDouble"/>
      <w:lvlText w:val=""/>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C45A36"/>
    <w:multiLevelType w:val="hybridMultilevel"/>
    <w:tmpl w:val="88A47936"/>
    <w:lvl w:ilvl="0" w:tplc="7872487A">
      <w:start w:val="1"/>
      <w:numFmt w:val="bullet"/>
      <w:pStyle w:val="TableText10Bullet2Double"/>
      <w:lvlText w:val="–"/>
      <w:lvlJc w:val="left"/>
      <w:pPr>
        <w:tabs>
          <w:tab w:val="num" w:pos="216"/>
        </w:tabs>
        <w:ind w:left="216" w:firstLine="0"/>
      </w:pPr>
      <w:rPr>
        <w:rFonts w:ascii="Arial" w:hAnsi="Arial" w:hint="default"/>
        <w:color w:val="auto"/>
        <w:sz w:val="18"/>
        <w:szCs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8F6184E"/>
    <w:multiLevelType w:val="hybridMultilevel"/>
    <w:tmpl w:val="8B104708"/>
    <w:lvl w:ilvl="0" w:tplc="D8E42D2A">
      <w:numFmt w:val="none"/>
      <w:pStyle w:val="Bullet2SubtextDouble"/>
      <w:lvlText w:val=""/>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C9F1755"/>
    <w:multiLevelType w:val="hybridMultilevel"/>
    <w:tmpl w:val="7CA43084"/>
    <w:lvl w:ilvl="0" w:tplc="44D04A22">
      <w:start w:val="1"/>
      <w:numFmt w:val="decimal"/>
      <w:pStyle w:val="NumbersAutoBold"/>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0CA6F07"/>
    <w:multiLevelType w:val="hybridMultilevel"/>
    <w:tmpl w:val="B4A23B84"/>
    <w:lvl w:ilvl="0" w:tplc="FEDCE32C">
      <w:start w:val="1"/>
      <w:numFmt w:val="none"/>
      <w:pStyle w:val="Bullet2Single"/>
      <w:lvlText w:val=""/>
      <w:lvlJc w:val="left"/>
      <w:pPr>
        <w:tabs>
          <w:tab w:val="num" w:pos="36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6854438"/>
    <w:multiLevelType w:val="hybridMultilevel"/>
    <w:tmpl w:val="5FEA1B02"/>
    <w:lvl w:ilvl="0" w:tplc="5A00247E">
      <w:numFmt w:val="none"/>
      <w:pStyle w:val="Bullet2SubtextSingle"/>
      <w:lvlText w:val=""/>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A6B4878"/>
    <w:multiLevelType w:val="multilevel"/>
    <w:tmpl w:val="CAEA2CBC"/>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0" w15:restartNumberingAfterBreak="0">
    <w:nsid w:val="42102BAB"/>
    <w:multiLevelType w:val="hybridMultilevel"/>
    <w:tmpl w:val="EED651DE"/>
    <w:lvl w:ilvl="0" w:tplc="F9AE0CA6">
      <w:start w:val="1"/>
      <w:numFmt w:val="bullet"/>
      <w:pStyle w:val="Bullet4Double0"/>
      <w:lvlText w:val="–"/>
      <w:lvlJc w:val="left"/>
      <w:pPr>
        <w:tabs>
          <w:tab w:val="num" w:pos="1440"/>
        </w:tabs>
        <w:ind w:left="144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4635F84"/>
    <w:multiLevelType w:val="hybridMultilevel"/>
    <w:tmpl w:val="45A8AE10"/>
    <w:lvl w:ilvl="0" w:tplc="1806F360">
      <w:start w:val="1"/>
      <w:numFmt w:val="none"/>
      <w:pStyle w:val="Bullet3SubtextSingle"/>
      <w:lvlText w:val=""/>
      <w:lvlJc w:val="left"/>
      <w:pPr>
        <w:tabs>
          <w:tab w:val="num" w:pos="1080"/>
        </w:tabs>
        <w:ind w:left="1080" w:hanging="10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A93317F"/>
    <w:multiLevelType w:val="hybridMultilevel"/>
    <w:tmpl w:val="258A83A4"/>
    <w:lvl w:ilvl="0" w:tplc="D14CF2A0">
      <w:start w:val="1"/>
      <w:numFmt w:val="bullet"/>
      <w:pStyle w:val="QuotationAttribute"/>
      <w:lvlText w:val=""/>
      <w:lvlJc w:val="left"/>
      <w:pPr>
        <w:tabs>
          <w:tab w:val="num" w:pos="936"/>
        </w:tabs>
        <w:ind w:left="936" w:hanging="216"/>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8D2723"/>
    <w:multiLevelType w:val="hybridMultilevel"/>
    <w:tmpl w:val="41AEFB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E8D4B31"/>
    <w:multiLevelType w:val="hybridMultilevel"/>
    <w:tmpl w:val="48066640"/>
    <w:lvl w:ilvl="0" w:tplc="C144F3EE">
      <w:start w:val="1"/>
      <w:numFmt w:val="decimal"/>
      <w:pStyle w:val="NumbersAutoSingle"/>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4EEF5CD1"/>
    <w:multiLevelType w:val="hybridMultilevel"/>
    <w:tmpl w:val="6AE431BC"/>
    <w:lvl w:ilvl="0" w:tplc="621EB71C">
      <w:start w:val="1"/>
      <w:numFmt w:val="bullet"/>
      <w:pStyle w:val="Bullet2Double"/>
      <w:lvlText w:val="–"/>
      <w:lvlJc w:val="left"/>
      <w:pPr>
        <w:tabs>
          <w:tab w:val="num" w:pos="360"/>
        </w:tabs>
        <w:ind w:left="36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5767F5"/>
    <w:multiLevelType w:val="multilevel"/>
    <w:tmpl w:val="82F0B1EC"/>
    <w:lvl w:ilvl="0">
      <w:start w:val="1"/>
      <w:numFmt w:val="decimal"/>
      <w:pStyle w:val="Heading1"/>
      <w:lvlText w:val="%1."/>
      <w:lvlJc w:val="left"/>
      <w:pPr>
        <w:tabs>
          <w:tab w:val="num" w:pos="634"/>
        </w:tabs>
        <w:ind w:left="634" w:hanging="634"/>
      </w:pPr>
      <w:rPr>
        <w:rFonts w:hint="default"/>
      </w:rPr>
    </w:lvl>
    <w:lvl w:ilvl="1">
      <w:start w:val="1"/>
      <w:numFmt w:val="decimal"/>
      <w:pStyle w:val="Heading2"/>
      <w:lvlText w:val="%1.%2."/>
      <w:lvlJc w:val="left"/>
      <w:pPr>
        <w:tabs>
          <w:tab w:val="num" w:pos="1080"/>
        </w:tabs>
        <w:ind w:left="1080" w:hanging="1080"/>
      </w:pPr>
      <w:rPr>
        <w:rFonts w:hint="default"/>
      </w:rPr>
    </w:lvl>
    <w:lvl w:ilvl="2">
      <w:start w:val="1"/>
      <w:numFmt w:val="decimal"/>
      <w:pStyle w:val="Heading3"/>
      <w:lvlText w:val="%1.%2.%3."/>
      <w:lvlJc w:val="left"/>
      <w:pPr>
        <w:tabs>
          <w:tab w:val="num" w:pos="1267"/>
        </w:tabs>
        <w:ind w:left="1267" w:hanging="1267"/>
      </w:pPr>
      <w:rPr>
        <w:rFonts w:hint="default"/>
      </w:rPr>
    </w:lvl>
    <w:lvl w:ilvl="3">
      <w:start w:val="1"/>
      <w:numFmt w:val="decimal"/>
      <w:pStyle w:val="Heading4"/>
      <w:lvlText w:val="%1.%2.%3.%4."/>
      <w:lvlJc w:val="left"/>
      <w:pPr>
        <w:tabs>
          <w:tab w:val="num" w:pos="1440"/>
        </w:tabs>
        <w:ind w:left="1440" w:hanging="1440"/>
      </w:pPr>
      <w:rPr>
        <w:rFonts w:hint="default"/>
      </w:rPr>
    </w:lvl>
    <w:lvl w:ilvl="4">
      <w:start w:val="1"/>
      <w:numFmt w:val="decimal"/>
      <w:pStyle w:val="Heading5"/>
      <w:lvlText w:val="%1.%2.%3.%4.%5."/>
      <w:lvlJc w:val="left"/>
      <w:pPr>
        <w:tabs>
          <w:tab w:val="num" w:pos="1627"/>
        </w:tabs>
        <w:ind w:left="1627" w:hanging="1627"/>
      </w:pPr>
      <w:rPr>
        <w:rFonts w:hint="default"/>
      </w:rPr>
    </w:lvl>
    <w:lvl w:ilvl="5">
      <w:start w:val="1"/>
      <w:numFmt w:val="decimal"/>
      <w:pStyle w:val="Heading6"/>
      <w:lvlText w:val="%1.%2.%3.%4.%5.%6."/>
      <w:lvlJc w:val="left"/>
      <w:pPr>
        <w:tabs>
          <w:tab w:val="num" w:pos="1800"/>
        </w:tabs>
        <w:ind w:left="1800" w:hanging="1800"/>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7" w15:restartNumberingAfterBreak="0">
    <w:nsid w:val="54A92142"/>
    <w:multiLevelType w:val="hybridMultilevel"/>
    <w:tmpl w:val="CFD016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C451B9C"/>
    <w:multiLevelType w:val="hybridMultilevel"/>
    <w:tmpl w:val="08501F70"/>
    <w:lvl w:ilvl="0" w:tplc="6706B996">
      <w:start w:val="1"/>
      <w:numFmt w:val="bullet"/>
      <w:pStyle w:val="Bullet1Double"/>
      <w:lvlText w:val=""/>
      <w:lvlJc w:val="left"/>
      <w:pPr>
        <w:tabs>
          <w:tab w:val="num" w:pos="0"/>
        </w:tabs>
        <w:ind w:left="0" w:firstLine="0"/>
      </w:pPr>
      <w:rPr>
        <w:rFonts w:ascii="Symbol" w:hAnsi="Symbol" w:hint="default"/>
        <w:color w:val="auto"/>
        <w:sz w:val="22"/>
        <w:szCs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CDD55CC"/>
    <w:multiLevelType w:val="multilevel"/>
    <w:tmpl w:val="3D902EB6"/>
    <w:lvl w:ilvl="0">
      <w:start w:val="1"/>
      <w:numFmt w:val="decimal"/>
      <w:pStyle w:val="TableCaptionAuto"/>
      <w:lvlText w:val="Table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5E7E61D6"/>
    <w:multiLevelType w:val="hybridMultilevel"/>
    <w:tmpl w:val="06FAFE4C"/>
    <w:lvl w:ilvl="0" w:tplc="866A24BA">
      <w:numFmt w:val="none"/>
      <w:pStyle w:val="Bullet5Single"/>
      <w:lvlText w:val=""/>
      <w:lvlJc w:val="left"/>
      <w:pPr>
        <w:tabs>
          <w:tab w:val="num" w:pos="1440"/>
        </w:tabs>
        <w:ind w:left="1800" w:hanging="180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4240241"/>
    <w:multiLevelType w:val="hybridMultilevel"/>
    <w:tmpl w:val="0C022ABC"/>
    <w:lvl w:ilvl="0" w:tplc="AD46E22C">
      <w:start w:val="1"/>
      <w:numFmt w:val="bullet"/>
      <w:pStyle w:val="Bullet4Single0"/>
      <w:lvlText w:val="–"/>
      <w:lvlJc w:val="left"/>
      <w:pPr>
        <w:tabs>
          <w:tab w:val="num" w:pos="1440"/>
        </w:tabs>
        <w:ind w:left="1440" w:hanging="360"/>
      </w:pPr>
      <w:rPr>
        <w:rFonts w:ascii="Arial" w:hAnsi="Arial" w:hint="default"/>
        <w:b w:val="0"/>
        <w:i w:val="0"/>
        <w:color w:val="auto"/>
        <w:sz w:val="18"/>
        <w:szCs w:val="2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47F37F3"/>
    <w:multiLevelType w:val="hybridMultilevel"/>
    <w:tmpl w:val="B63A4134"/>
    <w:lvl w:ilvl="0" w:tplc="02889D88">
      <w:start w:val="1"/>
      <w:numFmt w:val="none"/>
      <w:pStyle w:val="Bullet2Double0"/>
      <w:lvlText w:val=""/>
      <w:lvlJc w:val="left"/>
      <w:pPr>
        <w:tabs>
          <w:tab w:val="num" w:pos="36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6AD53EA1"/>
    <w:multiLevelType w:val="hybridMultilevel"/>
    <w:tmpl w:val="0DF26B50"/>
    <w:lvl w:ilvl="0" w:tplc="75D01A34">
      <w:start w:val="1"/>
      <w:numFmt w:val="bullet"/>
      <w:pStyle w:val="TableText10Bullet2Single"/>
      <w:lvlText w:val="–"/>
      <w:lvlJc w:val="left"/>
      <w:pPr>
        <w:tabs>
          <w:tab w:val="num" w:pos="1440"/>
        </w:tabs>
        <w:ind w:left="1440" w:hanging="360"/>
      </w:pPr>
      <w:rPr>
        <w:rFonts w:ascii="Arial" w:hAnsi="Arial" w:hint="default"/>
        <w:b w:val="0"/>
        <w:i w:val="0"/>
        <w:color w:val="auto"/>
        <w:sz w:val="18"/>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C956857"/>
    <w:multiLevelType w:val="hybridMultilevel"/>
    <w:tmpl w:val="7BDE8B72"/>
    <w:lvl w:ilvl="0" w:tplc="26B685B8">
      <w:start w:val="1"/>
      <w:numFmt w:val="bullet"/>
      <w:pStyle w:val="Bullet5Single0"/>
      <w:lvlText w:val=""/>
      <w:lvlJc w:val="left"/>
      <w:pPr>
        <w:tabs>
          <w:tab w:val="num" w:pos="1800"/>
        </w:tabs>
        <w:ind w:left="1800" w:hanging="360"/>
      </w:pPr>
      <w:rPr>
        <w:rFonts w:ascii="Symbol" w:hAnsi="Symbol" w:hint="default"/>
        <w:b w:val="0"/>
        <w:i w:val="0"/>
        <w:color w:val="auto"/>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C9C73EB"/>
    <w:multiLevelType w:val="multilevel"/>
    <w:tmpl w:val="0262DD12"/>
    <w:lvl w:ilvl="0">
      <w:start w:val="1"/>
      <w:numFmt w:val="decimal"/>
      <w:pStyle w:val="FigureCaptionAuto"/>
      <w:lvlText w:val="Figure %1."/>
      <w:lvlJc w:val="left"/>
      <w:pPr>
        <w:tabs>
          <w:tab w:val="num" w:pos="1080"/>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4D844BA"/>
    <w:multiLevelType w:val="hybridMultilevel"/>
    <w:tmpl w:val="52CCCA42"/>
    <w:lvl w:ilvl="0" w:tplc="660C4322">
      <w:start w:val="1"/>
      <w:numFmt w:val="decimal"/>
      <w:pStyle w:val="NumbersAutoDouble"/>
      <w:lvlText w:val="%1."/>
      <w:lvlJc w:val="left"/>
      <w:pPr>
        <w:tabs>
          <w:tab w:val="num" w:pos="360"/>
        </w:tabs>
        <w:ind w:left="36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97A0C02"/>
    <w:multiLevelType w:val="hybridMultilevel"/>
    <w:tmpl w:val="6E5C3282"/>
    <w:lvl w:ilvl="0" w:tplc="72D25B90">
      <w:start w:val="1"/>
      <w:numFmt w:val="bullet"/>
      <w:pStyle w:val="Bullet3Single0"/>
      <w:lvlText w:val=""/>
      <w:lvlJc w:val="left"/>
      <w:pPr>
        <w:tabs>
          <w:tab w:val="num" w:pos="1080"/>
        </w:tabs>
        <w:ind w:left="1080" w:hanging="360"/>
      </w:pPr>
      <w:rPr>
        <w:rFonts w:ascii="Symbol" w:hAnsi="Symbol" w:hint="default"/>
        <w:b w:val="0"/>
        <w:i w:val="0"/>
        <w:color w:val="auto"/>
        <w:sz w:val="22"/>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9B25E9"/>
    <w:multiLevelType w:val="hybridMultilevel"/>
    <w:tmpl w:val="F5CAD3A8"/>
    <w:lvl w:ilvl="0" w:tplc="A1A857D2">
      <w:start w:val="1"/>
      <w:numFmt w:val="bullet"/>
      <w:pStyle w:val="Bullet5Double0"/>
      <w:lvlText w:val=""/>
      <w:lvlJc w:val="left"/>
      <w:pPr>
        <w:tabs>
          <w:tab w:val="num" w:pos="1800"/>
        </w:tabs>
        <w:ind w:left="1800" w:hanging="360"/>
      </w:pPr>
      <w:rPr>
        <w:rFonts w:ascii="Symbol" w:hAnsi="Symbol" w:hint="default"/>
        <w:b w:val="0"/>
        <w:i w:val="0"/>
        <w:color w:val="auto"/>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24"/>
  </w:num>
  <w:num w:numId="3">
    <w:abstractNumId w:val="26"/>
  </w:num>
  <w:num w:numId="4">
    <w:abstractNumId w:val="29"/>
  </w:num>
  <w:num w:numId="5">
    <w:abstractNumId w:val="35"/>
  </w:num>
  <w:num w:numId="6">
    <w:abstractNumId w:val="16"/>
  </w:num>
  <w:num w:numId="7">
    <w:abstractNumId w:val="36"/>
  </w:num>
  <w:num w:numId="8">
    <w:abstractNumId w:val="12"/>
  </w:num>
  <w:num w:numId="9">
    <w:abstractNumId w:val="28"/>
  </w:num>
  <w:num w:numId="10">
    <w:abstractNumId w:val="2"/>
  </w:num>
  <w:num w:numId="11">
    <w:abstractNumId w:val="25"/>
  </w:num>
  <w:num w:numId="12">
    <w:abstractNumId w:val="4"/>
  </w:num>
  <w:num w:numId="13">
    <w:abstractNumId w:val="37"/>
  </w:num>
  <w:num w:numId="14">
    <w:abstractNumId w:val="20"/>
  </w:num>
  <w:num w:numId="15">
    <w:abstractNumId w:val="31"/>
  </w:num>
  <w:num w:numId="16">
    <w:abstractNumId w:val="38"/>
  </w:num>
  <w:num w:numId="17">
    <w:abstractNumId w:val="34"/>
  </w:num>
  <w:num w:numId="18">
    <w:abstractNumId w:val="13"/>
  </w:num>
  <w:num w:numId="19">
    <w:abstractNumId w:val="32"/>
  </w:num>
  <w:num w:numId="20">
    <w:abstractNumId w:val="17"/>
  </w:num>
  <w:num w:numId="21">
    <w:abstractNumId w:val="15"/>
  </w:num>
  <w:num w:numId="22">
    <w:abstractNumId w:val="18"/>
  </w:num>
  <w:num w:numId="23">
    <w:abstractNumId w:val="6"/>
  </w:num>
  <w:num w:numId="24">
    <w:abstractNumId w:val="5"/>
  </w:num>
  <w:num w:numId="25">
    <w:abstractNumId w:val="8"/>
  </w:num>
  <w:num w:numId="26">
    <w:abstractNumId w:val="10"/>
  </w:num>
  <w:num w:numId="27">
    <w:abstractNumId w:val="7"/>
  </w:num>
  <w:num w:numId="28">
    <w:abstractNumId w:val="9"/>
  </w:num>
  <w:num w:numId="29">
    <w:abstractNumId w:val="30"/>
  </w:num>
  <w:num w:numId="30">
    <w:abstractNumId w:val="21"/>
  </w:num>
  <w:num w:numId="31">
    <w:abstractNumId w:val="1"/>
  </w:num>
  <w:num w:numId="32">
    <w:abstractNumId w:val="14"/>
  </w:num>
  <w:num w:numId="33">
    <w:abstractNumId w:val="33"/>
  </w:num>
  <w:num w:numId="34">
    <w:abstractNumId w:val="0"/>
  </w:num>
  <w:num w:numId="35">
    <w:abstractNumId w:val="28"/>
  </w:num>
  <w:num w:numId="36">
    <w:abstractNumId w:val="25"/>
  </w:num>
  <w:num w:numId="37">
    <w:abstractNumId w:val="3"/>
  </w:num>
  <w:num w:numId="38">
    <w:abstractNumId w:val="27"/>
  </w:num>
  <w:num w:numId="39">
    <w:abstractNumId w:val="23"/>
  </w:num>
  <w:num w:numId="40">
    <w:abstractNumId w:val="11"/>
  </w:num>
  <w:num w:numId="41">
    <w:abstractNumId w:val="19"/>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US" w:vendorID="64" w:dllVersion="131078" w:nlCheck="1" w:checkStyle="1"/>
  <w:activeWritingStyle w:appName="MSWord" w:lang="en-US" w:vendorID="64" w:dllVersion="131077" w:nlCheck="1" w:checkStyle="1"/>
  <w:activeWritingStyle w:appName="MSWord" w:lang="de-DE" w:vendorID="64" w:dllVersion="131078" w:nlCheck="1" w:checkStyle="1"/>
  <w:activeWritingStyle w:appName="MSWord" w:lang="es-ES" w:vendorID="64" w:dllVersion="131078" w:nlCheck="1" w:checkStyle="1"/>
  <w:activeWritingStyle w:appName="MSWord" w:lang="es-MX" w:vendorID="64" w:dllVersion="131078" w:nlCheck="1" w:checkStyle="1"/>
  <w:activeWritingStyle w:appName="MSWord" w:lang="en-GB" w:vendorID="64" w:dllVersion="131078" w:nlCheck="1" w:checkStyle="1"/>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clickAndTypeStyle w:val="BodyText"/>
  <w:drawingGridHorizontalSpacing w:val="110"/>
  <w:drawingGridVerticalSpacing w:val="299"/>
  <w:displayHorizontalDrawingGridEvery w:val="0"/>
  <w:displayVerticalDrawingGridEvery w:val="0"/>
  <w:noPunctuationKerning/>
  <w:characterSpacingControl w:val="doNotCompress"/>
  <w:hdrShapeDefaults>
    <o:shapedefaults v:ext="edit" spidmax="2049">
      <o:colormru v:ext="edit" colors="#009,#8f8f8f,#74b81b,#007d9a,#093678,#0096d6,#00b388"/>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ProposalTypeSet" w:val="No"/>
  </w:docVars>
  <w:rsids>
    <w:rsidRoot w:val="002E6B3D"/>
    <w:rsid w:val="00000AA2"/>
    <w:rsid w:val="00002F0D"/>
    <w:rsid w:val="00003753"/>
    <w:rsid w:val="00005C4B"/>
    <w:rsid w:val="00005CD5"/>
    <w:rsid w:val="0000681A"/>
    <w:rsid w:val="00011876"/>
    <w:rsid w:val="00012FBE"/>
    <w:rsid w:val="000143C7"/>
    <w:rsid w:val="000160BD"/>
    <w:rsid w:val="00017B5C"/>
    <w:rsid w:val="00021F39"/>
    <w:rsid w:val="00021FF9"/>
    <w:rsid w:val="00022B5F"/>
    <w:rsid w:val="000232E3"/>
    <w:rsid w:val="0002448C"/>
    <w:rsid w:val="00026C9C"/>
    <w:rsid w:val="000279CA"/>
    <w:rsid w:val="00033A51"/>
    <w:rsid w:val="000370AD"/>
    <w:rsid w:val="0004022D"/>
    <w:rsid w:val="000412AA"/>
    <w:rsid w:val="0004401A"/>
    <w:rsid w:val="00045E76"/>
    <w:rsid w:val="00047F9B"/>
    <w:rsid w:val="000527A2"/>
    <w:rsid w:val="00053A82"/>
    <w:rsid w:val="00055CEB"/>
    <w:rsid w:val="00055F92"/>
    <w:rsid w:val="00060794"/>
    <w:rsid w:val="00061A20"/>
    <w:rsid w:val="00062156"/>
    <w:rsid w:val="000624AC"/>
    <w:rsid w:val="00064DAF"/>
    <w:rsid w:val="0007210A"/>
    <w:rsid w:val="000757AF"/>
    <w:rsid w:val="00075932"/>
    <w:rsid w:val="0008087A"/>
    <w:rsid w:val="000813C3"/>
    <w:rsid w:val="000842FF"/>
    <w:rsid w:val="000869D0"/>
    <w:rsid w:val="00087F3B"/>
    <w:rsid w:val="0009198B"/>
    <w:rsid w:val="000919D4"/>
    <w:rsid w:val="00092841"/>
    <w:rsid w:val="00095B1A"/>
    <w:rsid w:val="000A286C"/>
    <w:rsid w:val="000A3974"/>
    <w:rsid w:val="000B02C5"/>
    <w:rsid w:val="000B0393"/>
    <w:rsid w:val="000B295C"/>
    <w:rsid w:val="000B2A9B"/>
    <w:rsid w:val="000B4906"/>
    <w:rsid w:val="000C301A"/>
    <w:rsid w:val="000C4EBC"/>
    <w:rsid w:val="000C616D"/>
    <w:rsid w:val="000C6F9D"/>
    <w:rsid w:val="000D1E13"/>
    <w:rsid w:val="000D3F76"/>
    <w:rsid w:val="000D4240"/>
    <w:rsid w:val="000D5331"/>
    <w:rsid w:val="000D556E"/>
    <w:rsid w:val="000E15BB"/>
    <w:rsid w:val="000E2DE6"/>
    <w:rsid w:val="000E4CF4"/>
    <w:rsid w:val="000F413C"/>
    <w:rsid w:val="000F4785"/>
    <w:rsid w:val="000F5CEF"/>
    <w:rsid w:val="000F715E"/>
    <w:rsid w:val="0010026D"/>
    <w:rsid w:val="0010086D"/>
    <w:rsid w:val="001019AA"/>
    <w:rsid w:val="00105BAF"/>
    <w:rsid w:val="001120C8"/>
    <w:rsid w:val="00112417"/>
    <w:rsid w:val="001124E6"/>
    <w:rsid w:val="001124F9"/>
    <w:rsid w:val="0012058A"/>
    <w:rsid w:val="00124394"/>
    <w:rsid w:val="00133925"/>
    <w:rsid w:val="00135232"/>
    <w:rsid w:val="00135F9C"/>
    <w:rsid w:val="0013619B"/>
    <w:rsid w:val="00137E98"/>
    <w:rsid w:val="00142908"/>
    <w:rsid w:val="001434A7"/>
    <w:rsid w:val="00145BAA"/>
    <w:rsid w:val="0015104D"/>
    <w:rsid w:val="001535CC"/>
    <w:rsid w:val="001546B9"/>
    <w:rsid w:val="001562F8"/>
    <w:rsid w:val="001564C6"/>
    <w:rsid w:val="001574A8"/>
    <w:rsid w:val="001631BD"/>
    <w:rsid w:val="00165096"/>
    <w:rsid w:val="00165D90"/>
    <w:rsid w:val="001676D5"/>
    <w:rsid w:val="00167A4F"/>
    <w:rsid w:val="00170C38"/>
    <w:rsid w:val="00171165"/>
    <w:rsid w:val="0017399F"/>
    <w:rsid w:val="00174E34"/>
    <w:rsid w:val="00176006"/>
    <w:rsid w:val="00176DCD"/>
    <w:rsid w:val="0018039F"/>
    <w:rsid w:val="00181648"/>
    <w:rsid w:val="00186073"/>
    <w:rsid w:val="00186B20"/>
    <w:rsid w:val="00193E61"/>
    <w:rsid w:val="001944DC"/>
    <w:rsid w:val="00194F00"/>
    <w:rsid w:val="001B059F"/>
    <w:rsid w:val="001B1506"/>
    <w:rsid w:val="001B1851"/>
    <w:rsid w:val="001B4B47"/>
    <w:rsid w:val="001B5556"/>
    <w:rsid w:val="001C05B8"/>
    <w:rsid w:val="001C091B"/>
    <w:rsid w:val="001C2A98"/>
    <w:rsid w:val="001C3F6C"/>
    <w:rsid w:val="001C4E19"/>
    <w:rsid w:val="001C7029"/>
    <w:rsid w:val="001D2DCD"/>
    <w:rsid w:val="001D44BC"/>
    <w:rsid w:val="001D617C"/>
    <w:rsid w:val="001D7038"/>
    <w:rsid w:val="001E27F3"/>
    <w:rsid w:val="001F515F"/>
    <w:rsid w:val="001F7007"/>
    <w:rsid w:val="001F7015"/>
    <w:rsid w:val="001F7F58"/>
    <w:rsid w:val="002004FE"/>
    <w:rsid w:val="00202F64"/>
    <w:rsid w:val="00203F3A"/>
    <w:rsid w:val="00206BB3"/>
    <w:rsid w:val="00210AE0"/>
    <w:rsid w:val="002110A6"/>
    <w:rsid w:val="00214ABB"/>
    <w:rsid w:val="00217B0E"/>
    <w:rsid w:val="00220709"/>
    <w:rsid w:val="0022228A"/>
    <w:rsid w:val="002241AF"/>
    <w:rsid w:val="00230F60"/>
    <w:rsid w:val="0023323F"/>
    <w:rsid w:val="0023500B"/>
    <w:rsid w:val="00236B9B"/>
    <w:rsid w:val="00241119"/>
    <w:rsid w:val="0024112B"/>
    <w:rsid w:val="0024276E"/>
    <w:rsid w:val="00246ECC"/>
    <w:rsid w:val="002527F6"/>
    <w:rsid w:val="002535FC"/>
    <w:rsid w:val="00254BB6"/>
    <w:rsid w:val="002561D7"/>
    <w:rsid w:val="00257385"/>
    <w:rsid w:val="00257667"/>
    <w:rsid w:val="00257778"/>
    <w:rsid w:val="00261377"/>
    <w:rsid w:val="00262AC5"/>
    <w:rsid w:val="00266597"/>
    <w:rsid w:val="00270139"/>
    <w:rsid w:val="0027118A"/>
    <w:rsid w:val="00271A2E"/>
    <w:rsid w:val="002722F1"/>
    <w:rsid w:val="0027234B"/>
    <w:rsid w:val="002727E8"/>
    <w:rsid w:val="00272E7E"/>
    <w:rsid w:val="00273952"/>
    <w:rsid w:val="00274718"/>
    <w:rsid w:val="0027593E"/>
    <w:rsid w:val="00275BB3"/>
    <w:rsid w:val="00284345"/>
    <w:rsid w:val="0028448F"/>
    <w:rsid w:val="002875DF"/>
    <w:rsid w:val="002909D0"/>
    <w:rsid w:val="002912C0"/>
    <w:rsid w:val="00291716"/>
    <w:rsid w:val="00291B15"/>
    <w:rsid w:val="00292AC2"/>
    <w:rsid w:val="002952BD"/>
    <w:rsid w:val="002A2E84"/>
    <w:rsid w:val="002A3B4E"/>
    <w:rsid w:val="002A43FC"/>
    <w:rsid w:val="002A655F"/>
    <w:rsid w:val="002B2BE3"/>
    <w:rsid w:val="002B35A4"/>
    <w:rsid w:val="002B768A"/>
    <w:rsid w:val="002C1E8A"/>
    <w:rsid w:val="002C26B1"/>
    <w:rsid w:val="002C7717"/>
    <w:rsid w:val="002C7770"/>
    <w:rsid w:val="002C7920"/>
    <w:rsid w:val="002D09E4"/>
    <w:rsid w:val="002D342A"/>
    <w:rsid w:val="002D35F6"/>
    <w:rsid w:val="002E1111"/>
    <w:rsid w:val="002E12E4"/>
    <w:rsid w:val="002E3693"/>
    <w:rsid w:val="002E6B3D"/>
    <w:rsid w:val="002E7053"/>
    <w:rsid w:val="002F1691"/>
    <w:rsid w:val="002F1A48"/>
    <w:rsid w:val="002F76EC"/>
    <w:rsid w:val="00302FD7"/>
    <w:rsid w:val="00304FE0"/>
    <w:rsid w:val="00305133"/>
    <w:rsid w:val="00306B86"/>
    <w:rsid w:val="00313BC0"/>
    <w:rsid w:val="00314A70"/>
    <w:rsid w:val="00317479"/>
    <w:rsid w:val="003205E0"/>
    <w:rsid w:val="003222F6"/>
    <w:rsid w:val="00323453"/>
    <w:rsid w:val="0032385A"/>
    <w:rsid w:val="00323ADD"/>
    <w:rsid w:val="003254FD"/>
    <w:rsid w:val="00327BFF"/>
    <w:rsid w:val="003304B7"/>
    <w:rsid w:val="0033062B"/>
    <w:rsid w:val="00335401"/>
    <w:rsid w:val="00342177"/>
    <w:rsid w:val="00345B57"/>
    <w:rsid w:val="00350D0A"/>
    <w:rsid w:val="003513FC"/>
    <w:rsid w:val="0035226C"/>
    <w:rsid w:val="0035285B"/>
    <w:rsid w:val="003539A1"/>
    <w:rsid w:val="00354F64"/>
    <w:rsid w:val="00360147"/>
    <w:rsid w:val="003623B7"/>
    <w:rsid w:val="003642F3"/>
    <w:rsid w:val="003666D0"/>
    <w:rsid w:val="00366B92"/>
    <w:rsid w:val="003678D1"/>
    <w:rsid w:val="00367A6F"/>
    <w:rsid w:val="0037001C"/>
    <w:rsid w:val="0037028E"/>
    <w:rsid w:val="00370AF1"/>
    <w:rsid w:val="003713B8"/>
    <w:rsid w:val="00372283"/>
    <w:rsid w:val="00374A65"/>
    <w:rsid w:val="00377A84"/>
    <w:rsid w:val="00380705"/>
    <w:rsid w:val="00381106"/>
    <w:rsid w:val="00383BF4"/>
    <w:rsid w:val="00386A00"/>
    <w:rsid w:val="00386C1B"/>
    <w:rsid w:val="00391FBB"/>
    <w:rsid w:val="00392071"/>
    <w:rsid w:val="003A0951"/>
    <w:rsid w:val="003A3E6F"/>
    <w:rsid w:val="003A4468"/>
    <w:rsid w:val="003A44A4"/>
    <w:rsid w:val="003A474F"/>
    <w:rsid w:val="003A6CC6"/>
    <w:rsid w:val="003A7A48"/>
    <w:rsid w:val="003B06E3"/>
    <w:rsid w:val="003B1526"/>
    <w:rsid w:val="003B4B4C"/>
    <w:rsid w:val="003B5B80"/>
    <w:rsid w:val="003B65CD"/>
    <w:rsid w:val="003B69AA"/>
    <w:rsid w:val="003C396A"/>
    <w:rsid w:val="003C70CF"/>
    <w:rsid w:val="003D04CB"/>
    <w:rsid w:val="003D13A1"/>
    <w:rsid w:val="003D22DB"/>
    <w:rsid w:val="003D2D67"/>
    <w:rsid w:val="003D5437"/>
    <w:rsid w:val="003D788C"/>
    <w:rsid w:val="003E1C88"/>
    <w:rsid w:val="003E2AED"/>
    <w:rsid w:val="003E34CC"/>
    <w:rsid w:val="003F3010"/>
    <w:rsid w:val="003F3481"/>
    <w:rsid w:val="003F5305"/>
    <w:rsid w:val="003F584A"/>
    <w:rsid w:val="00401EA1"/>
    <w:rsid w:val="00405F91"/>
    <w:rsid w:val="00406DED"/>
    <w:rsid w:val="004071DA"/>
    <w:rsid w:val="004124A0"/>
    <w:rsid w:val="00414997"/>
    <w:rsid w:val="004155E0"/>
    <w:rsid w:val="0042088C"/>
    <w:rsid w:val="00422FD9"/>
    <w:rsid w:val="004258E4"/>
    <w:rsid w:val="00426512"/>
    <w:rsid w:val="004269EB"/>
    <w:rsid w:val="00426D82"/>
    <w:rsid w:val="004277A4"/>
    <w:rsid w:val="0043078C"/>
    <w:rsid w:val="004315A6"/>
    <w:rsid w:val="00433C9D"/>
    <w:rsid w:val="00434538"/>
    <w:rsid w:val="004353CF"/>
    <w:rsid w:val="00435556"/>
    <w:rsid w:val="00435995"/>
    <w:rsid w:val="00436BD4"/>
    <w:rsid w:val="00436F08"/>
    <w:rsid w:val="004406E9"/>
    <w:rsid w:val="00440ABD"/>
    <w:rsid w:val="00446878"/>
    <w:rsid w:val="00447A9D"/>
    <w:rsid w:val="00452E27"/>
    <w:rsid w:val="00453665"/>
    <w:rsid w:val="00456565"/>
    <w:rsid w:val="004625F4"/>
    <w:rsid w:val="00462879"/>
    <w:rsid w:val="00462A0C"/>
    <w:rsid w:val="004641DD"/>
    <w:rsid w:val="00466A4C"/>
    <w:rsid w:val="0047165E"/>
    <w:rsid w:val="00472AB1"/>
    <w:rsid w:val="00473C3B"/>
    <w:rsid w:val="00473C55"/>
    <w:rsid w:val="00475A15"/>
    <w:rsid w:val="0048111E"/>
    <w:rsid w:val="00481965"/>
    <w:rsid w:val="0048340C"/>
    <w:rsid w:val="00486253"/>
    <w:rsid w:val="00491CA4"/>
    <w:rsid w:val="004950D8"/>
    <w:rsid w:val="00495201"/>
    <w:rsid w:val="00497D59"/>
    <w:rsid w:val="004A00BC"/>
    <w:rsid w:val="004A1524"/>
    <w:rsid w:val="004A179F"/>
    <w:rsid w:val="004A3A48"/>
    <w:rsid w:val="004A4F92"/>
    <w:rsid w:val="004A7AC1"/>
    <w:rsid w:val="004B028B"/>
    <w:rsid w:val="004B56F0"/>
    <w:rsid w:val="004B592E"/>
    <w:rsid w:val="004B696D"/>
    <w:rsid w:val="004B69AB"/>
    <w:rsid w:val="004C4BF9"/>
    <w:rsid w:val="004C5F83"/>
    <w:rsid w:val="004D16AB"/>
    <w:rsid w:val="004E0C79"/>
    <w:rsid w:val="004E3D45"/>
    <w:rsid w:val="004F1E07"/>
    <w:rsid w:val="004F238C"/>
    <w:rsid w:val="004F59DF"/>
    <w:rsid w:val="004F60AE"/>
    <w:rsid w:val="005005AC"/>
    <w:rsid w:val="005007D5"/>
    <w:rsid w:val="0050095E"/>
    <w:rsid w:val="005010D2"/>
    <w:rsid w:val="005011FD"/>
    <w:rsid w:val="0050476B"/>
    <w:rsid w:val="00504DFB"/>
    <w:rsid w:val="005068B8"/>
    <w:rsid w:val="00506921"/>
    <w:rsid w:val="00506C0B"/>
    <w:rsid w:val="00510731"/>
    <w:rsid w:val="0051184D"/>
    <w:rsid w:val="00513B5E"/>
    <w:rsid w:val="00515C59"/>
    <w:rsid w:val="0052288F"/>
    <w:rsid w:val="00532C47"/>
    <w:rsid w:val="00532EC9"/>
    <w:rsid w:val="00533914"/>
    <w:rsid w:val="00534F44"/>
    <w:rsid w:val="00536E25"/>
    <w:rsid w:val="00537B7F"/>
    <w:rsid w:val="005436CC"/>
    <w:rsid w:val="00546015"/>
    <w:rsid w:val="0054798F"/>
    <w:rsid w:val="00550C59"/>
    <w:rsid w:val="00551E99"/>
    <w:rsid w:val="00556CF8"/>
    <w:rsid w:val="00557BDD"/>
    <w:rsid w:val="00563834"/>
    <w:rsid w:val="005649D0"/>
    <w:rsid w:val="00565F9C"/>
    <w:rsid w:val="00571F16"/>
    <w:rsid w:val="0057300E"/>
    <w:rsid w:val="005749E8"/>
    <w:rsid w:val="00574AA5"/>
    <w:rsid w:val="005760AE"/>
    <w:rsid w:val="0057698B"/>
    <w:rsid w:val="00581D09"/>
    <w:rsid w:val="005841A6"/>
    <w:rsid w:val="0058448A"/>
    <w:rsid w:val="00586081"/>
    <w:rsid w:val="0058679C"/>
    <w:rsid w:val="00591B4E"/>
    <w:rsid w:val="005927A7"/>
    <w:rsid w:val="005934EC"/>
    <w:rsid w:val="00596541"/>
    <w:rsid w:val="005968B1"/>
    <w:rsid w:val="00596BB2"/>
    <w:rsid w:val="005A1803"/>
    <w:rsid w:val="005A58C1"/>
    <w:rsid w:val="005A6820"/>
    <w:rsid w:val="005B2E5C"/>
    <w:rsid w:val="005B679E"/>
    <w:rsid w:val="005C0192"/>
    <w:rsid w:val="005C08C6"/>
    <w:rsid w:val="005C30AC"/>
    <w:rsid w:val="005C4175"/>
    <w:rsid w:val="005C4E54"/>
    <w:rsid w:val="005C50E6"/>
    <w:rsid w:val="005D130D"/>
    <w:rsid w:val="005D350E"/>
    <w:rsid w:val="005D531C"/>
    <w:rsid w:val="005D576D"/>
    <w:rsid w:val="005D5C19"/>
    <w:rsid w:val="005D5F88"/>
    <w:rsid w:val="005D720B"/>
    <w:rsid w:val="005D7A95"/>
    <w:rsid w:val="005E25FF"/>
    <w:rsid w:val="005E4F96"/>
    <w:rsid w:val="005E64D8"/>
    <w:rsid w:val="005E665C"/>
    <w:rsid w:val="005E71AE"/>
    <w:rsid w:val="005E7813"/>
    <w:rsid w:val="005F3347"/>
    <w:rsid w:val="005F5283"/>
    <w:rsid w:val="005F6A5F"/>
    <w:rsid w:val="00603B4E"/>
    <w:rsid w:val="00603DCA"/>
    <w:rsid w:val="006077CB"/>
    <w:rsid w:val="00611BAF"/>
    <w:rsid w:val="0061266A"/>
    <w:rsid w:val="006148A8"/>
    <w:rsid w:val="00617C79"/>
    <w:rsid w:val="00622BA8"/>
    <w:rsid w:val="00625BFF"/>
    <w:rsid w:val="00630AAF"/>
    <w:rsid w:val="00630C7B"/>
    <w:rsid w:val="00635538"/>
    <w:rsid w:val="006374DE"/>
    <w:rsid w:val="0064177A"/>
    <w:rsid w:val="00641AA8"/>
    <w:rsid w:val="006422A4"/>
    <w:rsid w:val="006434AA"/>
    <w:rsid w:val="00643551"/>
    <w:rsid w:val="00643C46"/>
    <w:rsid w:val="00644595"/>
    <w:rsid w:val="00646D5B"/>
    <w:rsid w:val="00650945"/>
    <w:rsid w:val="00652135"/>
    <w:rsid w:val="00653154"/>
    <w:rsid w:val="006552FC"/>
    <w:rsid w:val="00655BD4"/>
    <w:rsid w:val="006579DC"/>
    <w:rsid w:val="00657ED8"/>
    <w:rsid w:val="00660C05"/>
    <w:rsid w:val="0066229F"/>
    <w:rsid w:val="00663356"/>
    <w:rsid w:val="00663930"/>
    <w:rsid w:val="00663D9A"/>
    <w:rsid w:val="006641E3"/>
    <w:rsid w:val="0066624A"/>
    <w:rsid w:val="006671D9"/>
    <w:rsid w:val="00670288"/>
    <w:rsid w:val="00670B9B"/>
    <w:rsid w:val="00671BAF"/>
    <w:rsid w:val="00672036"/>
    <w:rsid w:val="00672DC4"/>
    <w:rsid w:val="00675ABA"/>
    <w:rsid w:val="00681802"/>
    <w:rsid w:val="006826E3"/>
    <w:rsid w:val="00684F21"/>
    <w:rsid w:val="00686840"/>
    <w:rsid w:val="00687F30"/>
    <w:rsid w:val="00690765"/>
    <w:rsid w:val="006974B2"/>
    <w:rsid w:val="006A03C7"/>
    <w:rsid w:val="006A29F1"/>
    <w:rsid w:val="006A50D6"/>
    <w:rsid w:val="006A50F0"/>
    <w:rsid w:val="006A5E6B"/>
    <w:rsid w:val="006A7177"/>
    <w:rsid w:val="006B1F1C"/>
    <w:rsid w:val="006B2AD4"/>
    <w:rsid w:val="006B34C7"/>
    <w:rsid w:val="006B5C61"/>
    <w:rsid w:val="006C0580"/>
    <w:rsid w:val="006C3D06"/>
    <w:rsid w:val="006C5351"/>
    <w:rsid w:val="006D1FDC"/>
    <w:rsid w:val="006E1AFA"/>
    <w:rsid w:val="006E637B"/>
    <w:rsid w:val="006F376F"/>
    <w:rsid w:val="006F3E3F"/>
    <w:rsid w:val="006F5D5F"/>
    <w:rsid w:val="006F789C"/>
    <w:rsid w:val="007013FB"/>
    <w:rsid w:val="00703109"/>
    <w:rsid w:val="007036C9"/>
    <w:rsid w:val="00704F5D"/>
    <w:rsid w:val="0070550A"/>
    <w:rsid w:val="0070780D"/>
    <w:rsid w:val="00710087"/>
    <w:rsid w:val="0071020A"/>
    <w:rsid w:val="007110A1"/>
    <w:rsid w:val="007117C1"/>
    <w:rsid w:val="00716988"/>
    <w:rsid w:val="00721217"/>
    <w:rsid w:val="0072586B"/>
    <w:rsid w:val="00725C65"/>
    <w:rsid w:val="00727587"/>
    <w:rsid w:val="00731BF4"/>
    <w:rsid w:val="00732313"/>
    <w:rsid w:val="00734E8D"/>
    <w:rsid w:val="00735083"/>
    <w:rsid w:val="0073740D"/>
    <w:rsid w:val="00740AF9"/>
    <w:rsid w:val="00742A39"/>
    <w:rsid w:val="00743FA7"/>
    <w:rsid w:val="007447F1"/>
    <w:rsid w:val="00745135"/>
    <w:rsid w:val="0074633B"/>
    <w:rsid w:val="00751C7D"/>
    <w:rsid w:val="007561E3"/>
    <w:rsid w:val="007634E3"/>
    <w:rsid w:val="00771826"/>
    <w:rsid w:val="00771DA4"/>
    <w:rsid w:val="00781B10"/>
    <w:rsid w:val="00785078"/>
    <w:rsid w:val="00785458"/>
    <w:rsid w:val="00787553"/>
    <w:rsid w:val="007926F0"/>
    <w:rsid w:val="00794A90"/>
    <w:rsid w:val="00794F18"/>
    <w:rsid w:val="00795509"/>
    <w:rsid w:val="007978B5"/>
    <w:rsid w:val="007A0EC0"/>
    <w:rsid w:val="007A1BFC"/>
    <w:rsid w:val="007A22CA"/>
    <w:rsid w:val="007A5D16"/>
    <w:rsid w:val="007B0413"/>
    <w:rsid w:val="007B1711"/>
    <w:rsid w:val="007B1E47"/>
    <w:rsid w:val="007C0809"/>
    <w:rsid w:val="007C1DCD"/>
    <w:rsid w:val="007C2618"/>
    <w:rsid w:val="007C28DB"/>
    <w:rsid w:val="007C5C0C"/>
    <w:rsid w:val="007C732A"/>
    <w:rsid w:val="007D13BA"/>
    <w:rsid w:val="007D297A"/>
    <w:rsid w:val="007D2F6F"/>
    <w:rsid w:val="007D4EE7"/>
    <w:rsid w:val="007E0CBB"/>
    <w:rsid w:val="007E47FC"/>
    <w:rsid w:val="007E4C92"/>
    <w:rsid w:val="007E6EAC"/>
    <w:rsid w:val="007E72B7"/>
    <w:rsid w:val="007F394A"/>
    <w:rsid w:val="007F455B"/>
    <w:rsid w:val="007F4D47"/>
    <w:rsid w:val="008003DA"/>
    <w:rsid w:val="00801C17"/>
    <w:rsid w:val="0080396E"/>
    <w:rsid w:val="00803D06"/>
    <w:rsid w:val="00805B57"/>
    <w:rsid w:val="00806E50"/>
    <w:rsid w:val="008076EB"/>
    <w:rsid w:val="00812E45"/>
    <w:rsid w:val="00815B77"/>
    <w:rsid w:val="008169C7"/>
    <w:rsid w:val="00821049"/>
    <w:rsid w:val="00826C16"/>
    <w:rsid w:val="00832D14"/>
    <w:rsid w:val="00832E96"/>
    <w:rsid w:val="00832F21"/>
    <w:rsid w:val="00835656"/>
    <w:rsid w:val="00836953"/>
    <w:rsid w:val="00843454"/>
    <w:rsid w:val="00846F14"/>
    <w:rsid w:val="00847B27"/>
    <w:rsid w:val="008508E5"/>
    <w:rsid w:val="00853474"/>
    <w:rsid w:val="00853CE4"/>
    <w:rsid w:val="008548C8"/>
    <w:rsid w:val="00856959"/>
    <w:rsid w:val="00856FD3"/>
    <w:rsid w:val="00857E7B"/>
    <w:rsid w:val="00864471"/>
    <w:rsid w:val="008657D2"/>
    <w:rsid w:val="00866172"/>
    <w:rsid w:val="00867CE9"/>
    <w:rsid w:val="00867FDA"/>
    <w:rsid w:val="00870BCA"/>
    <w:rsid w:val="0087140D"/>
    <w:rsid w:val="00871762"/>
    <w:rsid w:val="00875106"/>
    <w:rsid w:val="00876E78"/>
    <w:rsid w:val="0088098E"/>
    <w:rsid w:val="00880B67"/>
    <w:rsid w:val="0088172C"/>
    <w:rsid w:val="0088576B"/>
    <w:rsid w:val="00890EB2"/>
    <w:rsid w:val="00891C81"/>
    <w:rsid w:val="00891D0E"/>
    <w:rsid w:val="0089239B"/>
    <w:rsid w:val="008943A4"/>
    <w:rsid w:val="008A0FEF"/>
    <w:rsid w:val="008A720E"/>
    <w:rsid w:val="008B0E67"/>
    <w:rsid w:val="008B4443"/>
    <w:rsid w:val="008B4B1B"/>
    <w:rsid w:val="008B5C1B"/>
    <w:rsid w:val="008C01A0"/>
    <w:rsid w:val="008C0539"/>
    <w:rsid w:val="008C6C99"/>
    <w:rsid w:val="008C7FCD"/>
    <w:rsid w:val="008D1866"/>
    <w:rsid w:val="008D27F8"/>
    <w:rsid w:val="008D3973"/>
    <w:rsid w:val="008D6412"/>
    <w:rsid w:val="008E246D"/>
    <w:rsid w:val="008E469B"/>
    <w:rsid w:val="008E4E54"/>
    <w:rsid w:val="008E6552"/>
    <w:rsid w:val="008E65FD"/>
    <w:rsid w:val="008F0D7A"/>
    <w:rsid w:val="008F0D95"/>
    <w:rsid w:val="008F3D9C"/>
    <w:rsid w:val="008F49AB"/>
    <w:rsid w:val="00901611"/>
    <w:rsid w:val="00902D4D"/>
    <w:rsid w:val="00903DAC"/>
    <w:rsid w:val="009051AC"/>
    <w:rsid w:val="00905C70"/>
    <w:rsid w:val="00907649"/>
    <w:rsid w:val="00910A09"/>
    <w:rsid w:val="00911456"/>
    <w:rsid w:val="0091223D"/>
    <w:rsid w:val="0091480F"/>
    <w:rsid w:val="009149A0"/>
    <w:rsid w:val="00922963"/>
    <w:rsid w:val="00924E2F"/>
    <w:rsid w:val="00927023"/>
    <w:rsid w:val="00934ABB"/>
    <w:rsid w:val="0093580C"/>
    <w:rsid w:val="00935D5E"/>
    <w:rsid w:val="00935ED8"/>
    <w:rsid w:val="0094290B"/>
    <w:rsid w:val="009462F0"/>
    <w:rsid w:val="0094641F"/>
    <w:rsid w:val="0095017A"/>
    <w:rsid w:val="00951BBD"/>
    <w:rsid w:val="00953820"/>
    <w:rsid w:val="00953895"/>
    <w:rsid w:val="00953BE9"/>
    <w:rsid w:val="00955418"/>
    <w:rsid w:val="009625F4"/>
    <w:rsid w:val="0096341F"/>
    <w:rsid w:val="00967337"/>
    <w:rsid w:val="00970123"/>
    <w:rsid w:val="00971661"/>
    <w:rsid w:val="00971DDF"/>
    <w:rsid w:val="00973D87"/>
    <w:rsid w:val="00975617"/>
    <w:rsid w:val="009825E9"/>
    <w:rsid w:val="009831FC"/>
    <w:rsid w:val="009845F2"/>
    <w:rsid w:val="00986160"/>
    <w:rsid w:val="00986408"/>
    <w:rsid w:val="009866D7"/>
    <w:rsid w:val="00986AF1"/>
    <w:rsid w:val="00987AFD"/>
    <w:rsid w:val="009901A5"/>
    <w:rsid w:val="00992A90"/>
    <w:rsid w:val="00994314"/>
    <w:rsid w:val="00995E9C"/>
    <w:rsid w:val="00996CD3"/>
    <w:rsid w:val="009A1B5C"/>
    <w:rsid w:val="009A1E2E"/>
    <w:rsid w:val="009B0A75"/>
    <w:rsid w:val="009B2027"/>
    <w:rsid w:val="009B20E7"/>
    <w:rsid w:val="009B45A0"/>
    <w:rsid w:val="009B47DE"/>
    <w:rsid w:val="009B4A3A"/>
    <w:rsid w:val="009B7AA4"/>
    <w:rsid w:val="009C03DC"/>
    <w:rsid w:val="009D0C79"/>
    <w:rsid w:val="009D2E50"/>
    <w:rsid w:val="009D3FCA"/>
    <w:rsid w:val="009E0230"/>
    <w:rsid w:val="009E0D93"/>
    <w:rsid w:val="009E1C8B"/>
    <w:rsid w:val="009E2EA9"/>
    <w:rsid w:val="009E34C0"/>
    <w:rsid w:val="009E3C85"/>
    <w:rsid w:val="009E6D02"/>
    <w:rsid w:val="009E7621"/>
    <w:rsid w:val="009F0FC2"/>
    <w:rsid w:val="009F1649"/>
    <w:rsid w:val="009F2225"/>
    <w:rsid w:val="009F6784"/>
    <w:rsid w:val="009F7A51"/>
    <w:rsid w:val="00A000DA"/>
    <w:rsid w:val="00A01A71"/>
    <w:rsid w:val="00A03775"/>
    <w:rsid w:val="00A05EBB"/>
    <w:rsid w:val="00A06BEF"/>
    <w:rsid w:val="00A06FCC"/>
    <w:rsid w:val="00A11CC8"/>
    <w:rsid w:val="00A1405A"/>
    <w:rsid w:val="00A21755"/>
    <w:rsid w:val="00A239D6"/>
    <w:rsid w:val="00A23ED7"/>
    <w:rsid w:val="00A24D94"/>
    <w:rsid w:val="00A25AA2"/>
    <w:rsid w:val="00A26CD9"/>
    <w:rsid w:val="00A31B62"/>
    <w:rsid w:val="00A322D7"/>
    <w:rsid w:val="00A32E63"/>
    <w:rsid w:val="00A33DD6"/>
    <w:rsid w:val="00A42330"/>
    <w:rsid w:val="00A436B3"/>
    <w:rsid w:val="00A44AEC"/>
    <w:rsid w:val="00A46232"/>
    <w:rsid w:val="00A51E18"/>
    <w:rsid w:val="00A5387A"/>
    <w:rsid w:val="00A544A3"/>
    <w:rsid w:val="00A55236"/>
    <w:rsid w:val="00A55F39"/>
    <w:rsid w:val="00A56850"/>
    <w:rsid w:val="00A601D9"/>
    <w:rsid w:val="00A60E02"/>
    <w:rsid w:val="00A6152E"/>
    <w:rsid w:val="00A6534D"/>
    <w:rsid w:val="00A65878"/>
    <w:rsid w:val="00A661F7"/>
    <w:rsid w:val="00A70039"/>
    <w:rsid w:val="00A7036E"/>
    <w:rsid w:val="00A7379B"/>
    <w:rsid w:val="00A73D8F"/>
    <w:rsid w:val="00A74ED8"/>
    <w:rsid w:val="00A80AAF"/>
    <w:rsid w:val="00A83884"/>
    <w:rsid w:val="00A860BA"/>
    <w:rsid w:val="00A868C0"/>
    <w:rsid w:val="00A8771A"/>
    <w:rsid w:val="00A87897"/>
    <w:rsid w:val="00A90D85"/>
    <w:rsid w:val="00A92743"/>
    <w:rsid w:val="00A92E3C"/>
    <w:rsid w:val="00A94D9D"/>
    <w:rsid w:val="00A95E1A"/>
    <w:rsid w:val="00A96C4C"/>
    <w:rsid w:val="00AA0EE1"/>
    <w:rsid w:val="00AA15F3"/>
    <w:rsid w:val="00AA25BA"/>
    <w:rsid w:val="00AA2DA6"/>
    <w:rsid w:val="00AA3A74"/>
    <w:rsid w:val="00AA5105"/>
    <w:rsid w:val="00AA6C80"/>
    <w:rsid w:val="00AA6D80"/>
    <w:rsid w:val="00AB1348"/>
    <w:rsid w:val="00AB212F"/>
    <w:rsid w:val="00AB4C0B"/>
    <w:rsid w:val="00AB4F63"/>
    <w:rsid w:val="00AB514A"/>
    <w:rsid w:val="00AB55BF"/>
    <w:rsid w:val="00AB565F"/>
    <w:rsid w:val="00AB5D28"/>
    <w:rsid w:val="00AB5D47"/>
    <w:rsid w:val="00AB5DC6"/>
    <w:rsid w:val="00AB6ED4"/>
    <w:rsid w:val="00AD12F9"/>
    <w:rsid w:val="00AD26AD"/>
    <w:rsid w:val="00AD482D"/>
    <w:rsid w:val="00AD4DE0"/>
    <w:rsid w:val="00AD7614"/>
    <w:rsid w:val="00AE1CA7"/>
    <w:rsid w:val="00AE2233"/>
    <w:rsid w:val="00AE3891"/>
    <w:rsid w:val="00AE3B71"/>
    <w:rsid w:val="00AE5B3C"/>
    <w:rsid w:val="00AF01FF"/>
    <w:rsid w:val="00AF5070"/>
    <w:rsid w:val="00AF629A"/>
    <w:rsid w:val="00AF6D7B"/>
    <w:rsid w:val="00B049E2"/>
    <w:rsid w:val="00B04A3F"/>
    <w:rsid w:val="00B06199"/>
    <w:rsid w:val="00B117A3"/>
    <w:rsid w:val="00B152DE"/>
    <w:rsid w:val="00B15890"/>
    <w:rsid w:val="00B16631"/>
    <w:rsid w:val="00B17D09"/>
    <w:rsid w:val="00B2049D"/>
    <w:rsid w:val="00B24134"/>
    <w:rsid w:val="00B31AC1"/>
    <w:rsid w:val="00B32EA1"/>
    <w:rsid w:val="00B33AD8"/>
    <w:rsid w:val="00B33B20"/>
    <w:rsid w:val="00B35E82"/>
    <w:rsid w:val="00B371AE"/>
    <w:rsid w:val="00B373A9"/>
    <w:rsid w:val="00B40740"/>
    <w:rsid w:val="00B41F1B"/>
    <w:rsid w:val="00B42368"/>
    <w:rsid w:val="00B443B0"/>
    <w:rsid w:val="00B4572C"/>
    <w:rsid w:val="00B46CD8"/>
    <w:rsid w:val="00B472A7"/>
    <w:rsid w:val="00B4771A"/>
    <w:rsid w:val="00B52C8F"/>
    <w:rsid w:val="00B53C9E"/>
    <w:rsid w:val="00B54AE9"/>
    <w:rsid w:val="00B557AC"/>
    <w:rsid w:val="00B56219"/>
    <w:rsid w:val="00B56CC8"/>
    <w:rsid w:val="00B56DD8"/>
    <w:rsid w:val="00B7157E"/>
    <w:rsid w:val="00B71CAF"/>
    <w:rsid w:val="00B7298A"/>
    <w:rsid w:val="00B731A2"/>
    <w:rsid w:val="00B74BF4"/>
    <w:rsid w:val="00B76F85"/>
    <w:rsid w:val="00B80F77"/>
    <w:rsid w:val="00B81702"/>
    <w:rsid w:val="00B82126"/>
    <w:rsid w:val="00B831A9"/>
    <w:rsid w:val="00B844BA"/>
    <w:rsid w:val="00B84885"/>
    <w:rsid w:val="00B84F48"/>
    <w:rsid w:val="00B86C8D"/>
    <w:rsid w:val="00B9207D"/>
    <w:rsid w:val="00B93773"/>
    <w:rsid w:val="00B93E90"/>
    <w:rsid w:val="00B940DE"/>
    <w:rsid w:val="00B94BAD"/>
    <w:rsid w:val="00B9567F"/>
    <w:rsid w:val="00BA0246"/>
    <w:rsid w:val="00BA029F"/>
    <w:rsid w:val="00BA20A3"/>
    <w:rsid w:val="00BA5008"/>
    <w:rsid w:val="00BA5E10"/>
    <w:rsid w:val="00BB1BF3"/>
    <w:rsid w:val="00BB29C9"/>
    <w:rsid w:val="00BB2DDE"/>
    <w:rsid w:val="00BB37D9"/>
    <w:rsid w:val="00BB4277"/>
    <w:rsid w:val="00BB446B"/>
    <w:rsid w:val="00BB528A"/>
    <w:rsid w:val="00BB5D7A"/>
    <w:rsid w:val="00BC0082"/>
    <w:rsid w:val="00BC57E8"/>
    <w:rsid w:val="00BC5B34"/>
    <w:rsid w:val="00BC644C"/>
    <w:rsid w:val="00BC7FC6"/>
    <w:rsid w:val="00BD04A2"/>
    <w:rsid w:val="00BD0842"/>
    <w:rsid w:val="00BD1E84"/>
    <w:rsid w:val="00BD21E2"/>
    <w:rsid w:val="00BD3B81"/>
    <w:rsid w:val="00BD4869"/>
    <w:rsid w:val="00BE02C0"/>
    <w:rsid w:val="00BE1448"/>
    <w:rsid w:val="00BE1A84"/>
    <w:rsid w:val="00BE1F6C"/>
    <w:rsid w:val="00BE401D"/>
    <w:rsid w:val="00BE4A36"/>
    <w:rsid w:val="00BE55B3"/>
    <w:rsid w:val="00BE5FD0"/>
    <w:rsid w:val="00BF1702"/>
    <w:rsid w:val="00BF3689"/>
    <w:rsid w:val="00BF3726"/>
    <w:rsid w:val="00BF4904"/>
    <w:rsid w:val="00C00E8D"/>
    <w:rsid w:val="00C0144A"/>
    <w:rsid w:val="00C03E4D"/>
    <w:rsid w:val="00C05090"/>
    <w:rsid w:val="00C0537F"/>
    <w:rsid w:val="00C12F1E"/>
    <w:rsid w:val="00C1317E"/>
    <w:rsid w:val="00C141C9"/>
    <w:rsid w:val="00C17280"/>
    <w:rsid w:val="00C2109C"/>
    <w:rsid w:val="00C23688"/>
    <w:rsid w:val="00C24563"/>
    <w:rsid w:val="00C27567"/>
    <w:rsid w:val="00C27CBB"/>
    <w:rsid w:val="00C3029C"/>
    <w:rsid w:val="00C33E56"/>
    <w:rsid w:val="00C34B09"/>
    <w:rsid w:val="00C4191C"/>
    <w:rsid w:val="00C43C1F"/>
    <w:rsid w:val="00C46D53"/>
    <w:rsid w:val="00C47141"/>
    <w:rsid w:val="00C50B00"/>
    <w:rsid w:val="00C517BD"/>
    <w:rsid w:val="00C51EB2"/>
    <w:rsid w:val="00C53BD7"/>
    <w:rsid w:val="00C54FAE"/>
    <w:rsid w:val="00C563F9"/>
    <w:rsid w:val="00C56BFC"/>
    <w:rsid w:val="00C56FEA"/>
    <w:rsid w:val="00C61849"/>
    <w:rsid w:val="00C62CD1"/>
    <w:rsid w:val="00C63819"/>
    <w:rsid w:val="00C64A4A"/>
    <w:rsid w:val="00C736D2"/>
    <w:rsid w:val="00C80B69"/>
    <w:rsid w:val="00C81C23"/>
    <w:rsid w:val="00C84FB1"/>
    <w:rsid w:val="00C876BB"/>
    <w:rsid w:val="00C90CCF"/>
    <w:rsid w:val="00C9152C"/>
    <w:rsid w:val="00C922AB"/>
    <w:rsid w:val="00C9263D"/>
    <w:rsid w:val="00CA1BB2"/>
    <w:rsid w:val="00CA6673"/>
    <w:rsid w:val="00CB05FF"/>
    <w:rsid w:val="00CB1306"/>
    <w:rsid w:val="00CB6C74"/>
    <w:rsid w:val="00CC1B70"/>
    <w:rsid w:val="00CC1F23"/>
    <w:rsid w:val="00CC359C"/>
    <w:rsid w:val="00CC49B3"/>
    <w:rsid w:val="00CD04C9"/>
    <w:rsid w:val="00CD0C10"/>
    <w:rsid w:val="00CD156D"/>
    <w:rsid w:val="00CD3ADE"/>
    <w:rsid w:val="00CD415B"/>
    <w:rsid w:val="00CE0F2E"/>
    <w:rsid w:val="00CE1526"/>
    <w:rsid w:val="00CE1802"/>
    <w:rsid w:val="00CE22C7"/>
    <w:rsid w:val="00CE3C9C"/>
    <w:rsid w:val="00CE4AC8"/>
    <w:rsid w:val="00CE69D8"/>
    <w:rsid w:val="00CE6E2B"/>
    <w:rsid w:val="00CF16E5"/>
    <w:rsid w:val="00CF3140"/>
    <w:rsid w:val="00CF519D"/>
    <w:rsid w:val="00CF5395"/>
    <w:rsid w:val="00CF6A71"/>
    <w:rsid w:val="00CF77A9"/>
    <w:rsid w:val="00CF7D7B"/>
    <w:rsid w:val="00D00767"/>
    <w:rsid w:val="00D02289"/>
    <w:rsid w:val="00D042A8"/>
    <w:rsid w:val="00D05878"/>
    <w:rsid w:val="00D05FEA"/>
    <w:rsid w:val="00D06EA4"/>
    <w:rsid w:val="00D10D46"/>
    <w:rsid w:val="00D11192"/>
    <w:rsid w:val="00D127A5"/>
    <w:rsid w:val="00D16668"/>
    <w:rsid w:val="00D2017B"/>
    <w:rsid w:val="00D2037D"/>
    <w:rsid w:val="00D20F3B"/>
    <w:rsid w:val="00D22CC4"/>
    <w:rsid w:val="00D23C42"/>
    <w:rsid w:val="00D23F01"/>
    <w:rsid w:val="00D24A4B"/>
    <w:rsid w:val="00D420B7"/>
    <w:rsid w:val="00D43E19"/>
    <w:rsid w:val="00D467D5"/>
    <w:rsid w:val="00D47974"/>
    <w:rsid w:val="00D509F8"/>
    <w:rsid w:val="00D5377F"/>
    <w:rsid w:val="00D547F1"/>
    <w:rsid w:val="00D54A09"/>
    <w:rsid w:val="00D55C93"/>
    <w:rsid w:val="00D56200"/>
    <w:rsid w:val="00D57208"/>
    <w:rsid w:val="00D60038"/>
    <w:rsid w:val="00D64F2D"/>
    <w:rsid w:val="00D66EDD"/>
    <w:rsid w:val="00D674A2"/>
    <w:rsid w:val="00D67620"/>
    <w:rsid w:val="00D70113"/>
    <w:rsid w:val="00D7162F"/>
    <w:rsid w:val="00D74A71"/>
    <w:rsid w:val="00D75401"/>
    <w:rsid w:val="00D770E0"/>
    <w:rsid w:val="00D777F1"/>
    <w:rsid w:val="00D804E5"/>
    <w:rsid w:val="00D809ED"/>
    <w:rsid w:val="00D86D6E"/>
    <w:rsid w:val="00D9062A"/>
    <w:rsid w:val="00D91C03"/>
    <w:rsid w:val="00D9284C"/>
    <w:rsid w:val="00D92FD5"/>
    <w:rsid w:val="00D93BDC"/>
    <w:rsid w:val="00D942E4"/>
    <w:rsid w:val="00D94914"/>
    <w:rsid w:val="00D94EBC"/>
    <w:rsid w:val="00D95230"/>
    <w:rsid w:val="00DA0770"/>
    <w:rsid w:val="00DA2057"/>
    <w:rsid w:val="00DA27DE"/>
    <w:rsid w:val="00DA2EF8"/>
    <w:rsid w:val="00DA362E"/>
    <w:rsid w:val="00DA37A2"/>
    <w:rsid w:val="00DA3CC0"/>
    <w:rsid w:val="00DA6012"/>
    <w:rsid w:val="00DB2907"/>
    <w:rsid w:val="00DB29AC"/>
    <w:rsid w:val="00DB2F47"/>
    <w:rsid w:val="00DB432E"/>
    <w:rsid w:val="00DB52A7"/>
    <w:rsid w:val="00DC4F61"/>
    <w:rsid w:val="00DC567C"/>
    <w:rsid w:val="00DC7161"/>
    <w:rsid w:val="00DD5466"/>
    <w:rsid w:val="00DD5591"/>
    <w:rsid w:val="00DD59EB"/>
    <w:rsid w:val="00DD5D8F"/>
    <w:rsid w:val="00DE0022"/>
    <w:rsid w:val="00DE0A3D"/>
    <w:rsid w:val="00DE38A4"/>
    <w:rsid w:val="00DE53D5"/>
    <w:rsid w:val="00DE6096"/>
    <w:rsid w:val="00DE6BFD"/>
    <w:rsid w:val="00DE7711"/>
    <w:rsid w:val="00DE7DC2"/>
    <w:rsid w:val="00DF029A"/>
    <w:rsid w:val="00DF056A"/>
    <w:rsid w:val="00DF1350"/>
    <w:rsid w:val="00DF2584"/>
    <w:rsid w:val="00DF27E3"/>
    <w:rsid w:val="00DF4474"/>
    <w:rsid w:val="00DF55A4"/>
    <w:rsid w:val="00DF62D5"/>
    <w:rsid w:val="00DF76B8"/>
    <w:rsid w:val="00E00C6F"/>
    <w:rsid w:val="00E021E3"/>
    <w:rsid w:val="00E0510B"/>
    <w:rsid w:val="00E06174"/>
    <w:rsid w:val="00E07B83"/>
    <w:rsid w:val="00E10B6C"/>
    <w:rsid w:val="00E146E2"/>
    <w:rsid w:val="00E15AB3"/>
    <w:rsid w:val="00E178F1"/>
    <w:rsid w:val="00E23C6A"/>
    <w:rsid w:val="00E24FC2"/>
    <w:rsid w:val="00E27818"/>
    <w:rsid w:val="00E27956"/>
    <w:rsid w:val="00E30597"/>
    <w:rsid w:val="00E318F3"/>
    <w:rsid w:val="00E3379C"/>
    <w:rsid w:val="00E3460D"/>
    <w:rsid w:val="00E3479A"/>
    <w:rsid w:val="00E34CBC"/>
    <w:rsid w:val="00E36912"/>
    <w:rsid w:val="00E3709F"/>
    <w:rsid w:val="00E37841"/>
    <w:rsid w:val="00E379D5"/>
    <w:rsid w:val="00E429D0"/>
    <w:rsid w:val="00E46426"/>
    <w:rsid w:val="00E53BCC"/>
    <w:rsid w:val="00E53E14"/>
    <w:rsid w:val="00E53E4A"/>
    <w:rsid w:val="00E54546"/>
    <w:rsid w:val="00E54BD1"/>
    <w:rsid w:val="00E6340B"/>
    <w:rsid w:val="00E63956"/>
    <w:rsid w:val="00E63E93"/>
    <w:rsid w:val="00E664D7"/>
    <w:rsid w:val="00E66513"/>
    <w:rsid w:val="00E6673C"/>
    <w:rsid w:val="00E8050A"/>
    <w:rsid w:val="00E8092F"/>
    <w:rsid w:val="00E82FC2"/>
    <w:rsid w:val="00E875DA"/>
    <w:rsid w:val="00E93CD2"/>
    <w:rsid w:val="00E9520A"/>
    <w:rsid w:val="00E95290"/>
    <w:rsid w:val="00EA35DA"/>
    <w:rsid w:val="00EA70C9"/>
    <w:rsid w:val="00EA70F6"/>
    <w:rsid w:val="00EB186E"/>
    <w:rsid w:val="00EB1DB0"/>
    <w:rsid w:val="00EB2431"/>
    <w:rsid w:val="00EB42D1"/>
    <w:rsid w:val="00EB47DE"/>
    <w:rsid w:val="00EB47FD"/>
    <w:rsid w:val="00EB4B7B"/>
    <w:rsid w:val="00EB5904"/>
    <w:rsid w:val="00EB5DEB"/>
    <w:rsid w:val="00EB7079"/>
    <w:rsid w:val="00EC1BF0"/>
    <w:rsid w:val="00EC1C47"/>
    <w:rsid w:val="00EC3D95"/>
    <w:rsid w:val="00EC7015"/>
    <w:rsid w:val="00ED1AA3"/>
    <w:rsid w:val="00ED3549"/>
    <w:rsid w:val="00ED4582"/>
    <w:rsid w:val="00EE048F"/>
    <w:rsid w:val="00EE1621"/>
    <w:rsid w:val="00EE1C01"/>
    <w:rsid w:val="00EE1E2F"/>
    <w:rsid w:val="00EE2CBC"/>
    <w:rsid w:val="00EE32AD"/>
    <w:rsid w:val="00EE33D8"/>
    <w:rsid w:val="00EF0361"/>
    <w:rsid w:val="00EF0D49"/>
    <w:rsid w:val="00EF2ADB"/>
    <w:rsid w:val="00EF3865"/>
    <w:rsid w:val="00EF3A4B"/>
    <w:rsid w:val="00EF5541"/>
    <w:rsid w:val="00EF59DE"/>
    <w:rsid w:val="00EF64CF"/>
    <w:rsid w:val="00F047ED"/>
    <w:rsid w:val="00F053C0"/>
    <w:rsid w:val="00F05400"/>
    <w:rsid w:val="00F05941"/>
    <w:rsid w:val="00F06DAB"/>
    <w:rsid w:val="00F13BB9"/>
    <w:rsid w:val="00F13F4C"/>
    <w:rsid w:val="00F1616B"/>
    <w:rsid w:val="00F2319F"/>
    <w:rsid w:val="00F273B8"/>
    <w:rsid w:val="00F306AE"/>
    <w:rsid w:val="00F30CAB"/>
    <w:rsid w:val="00F34CE2"/>
    <w:rsid w:val="00F42C17"/>
    <w:rsid w:val="00F431AD"/>
    <w:rsid w:val="00F44479"/>
    <w:rsid w:val="00F475CF"/>
    <w:rsid w:val="00F53ED9"/>
    <w:rsid w:val="00F552C0"/>
    <w:rsid w:val="00F5623E"/>
    <w:rsid w:val="00F5627A"/>
    <w:rsid w:val="00F564A2"/>
    <w:rsid w:val="00F60E7F"/>
    <w:rsid w:val="00F6249F"/>
    <w:rsid w:val="00F62A95"/>
    <w:rsid w:val="00F6360D"/>
    <w:rsid w:val="00F64973"/>
    <w:rsid w:val="00F674D9"/>
    <w:rsid w:val="00F70069"/>
    <w:rsid w:val="00F71C40"/>
    <w:rsid w:val="00F775CF"/>
    <w:rsid w:val="00F77A25"/>
    <w:rsid w:val="00F80FB1"/>
    <w:rsid w:val="00F84053"/>
    <w:rsid w:val="00F84DAA"/>
    <w:rsid w:val="00F85258"/>
    <w:rsid w:val="00F90D3E"/>
    <w:rsid w:val="00F90F19"/>
    <w:rsid w:val="00F93803"/>
    <w:rsid w:val="00F9580A"/>
    <w:rsid w:val="00F977F9"/>
    <w:rsid w:val="00FA2AB9"/>
    <w:rsid w:val="00FB0798"/>
    <w:rsid w:val="00FB39A9"/>
    <w:rsid w:val="00FB53C8"/>
    <w:rsid w:val="00FB6164"/>
    <w:rsid w:val="00FB6372"/>
    <w:rsid w:val="00FB7D87"/>
    <w:rsid w:val="00FC499C"/>
    <w:rsid w:val="00FC5173"/>
    <w:rsid w:val="00FD3A57"/>
    <w:rsid w:val="00FD5FC0"/>
    <w:rsid w:val="00FE44D0"/>
    <w:rsid w:val="00FE4B07"/>
    <w:rsid w:val="00FE4BAC"/>
    <w:rsid w:val="00FE545E"/>
    <w:rsid w:val="00FE6614"/>
    <w:rsid w:val="00FE7592"/>
    <w:rsid w:val="00FF04D0"/>
    <w:rsid w:val="00FF24B6"/>
    <w:rsid w:val="00FF32AC"/>
    <w:rsid w:val="00FF337F"/>
    <w:rsid w:val="00FF6518"/>
    <w:rsid w:val="00FF7C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009,#8f8f8f,#74b81b,#007d9a,#093678,#0096d6,#00b388"/>
    </o:shapedefaults>
    <o:shapelayout v:ext="edit">
      <o:idmap v:ext="edit" data="1"/>
    </o:shapelayout>
  </w:shapeDefaults>
  <w:decimalSymbol w:val="."/>
  <w:listSeparator w:val=","/>
  <w14:docId w14:val="24AE59BF"/>
  <w15:chartTrackingRefBased/>
  <w15:docId w15:val="{64425526-8B72-4FEC-BC32-BC0469C87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4A4B"/>
    <w:pPr>
      <w:spacing w:after="200" w:line="276" w:lineRule="auto"/>
    </w:pPr>
    <w:rPr>
      <w:rFonts w:asciiTheme="minorHAnsi" w:eastAsiaTheme="minorHAnsi" w:hAnsiTheme="minorHAnsi" w:cstheme="minorBidi"/>
      <w:sz w:val="22"/>
      <w:szCs w:val="22"/>
      <w:lang w:val="en-US" w:eastAsia="en-US"/>
    </w:rPr>
  </w:style>
  <w:style w:type="paragraph" w:styleId="Heading1">
    <w:name w:val="heading 1"/>
    <w:basedOn w:val="BodyText"/>
    <w:next w:val="BodyText"/>
    <w:qFormat/>
    <w:rsid w:val="00EB42D1"/>
    <w:pPr>
      <w:keepNext/>
      <w:pageBreakBefore/>
      <w:numPr>
        <w:numId w:val="3"/>
      </w:numPr>
      <w:tabs>
        <w:tab w:val="clear" w:pos="634"/>
        <w:tab w:val="left" w:pos="907"/>
      </w:tabs>
      <w:spacing w:before="120"/>
      <w:ind w:left="907" w:hanging="907"/>
      <w:outlineLvl w:val="0"/>
    </w:pPr>
    <w:rPr>
      <w:rFonts w:cs="Arial"/>
      <w:b/>
      <w:bCs/>
      <w:color w:val="auto"/>
      <w:kern w:val="32"/>
      <w:sz w:val="40"/>
      <w:szCs w:val="32"/>
    </w:rPr>
  </w:style>
  <w:style w:type="paragraph" w:styleId="Heading2">
    <w:name w:val="heading 2"/>
    <w:basedOn w:val="BodyText"/>
    <w:next w:val="BodyText"/>
    <w:qFormat/>
    <w:rsid w:val="009625F4"/>
    <w:pPr>
      <w:keepNext/>
      <w:numPr>
        <w:ilvl w:val="1"/>
        <w:numId w:val="3"/>
      </w:numPr>
      <w:spacing w:before="120"/>
      <w:outlineLvl w:val="1"/>
    </w:pPr>
    <w:rPr>
      <w:rFonts w:cs="Arial"/>
      <w:b/>
      <w:bCs/>
      <w:iCs/>
      <w:color w:val="auto"/>
      <w:sz w:val="36"/>
      <w:szCs w:val="28"/>
    </w:rPr>
  </w:style>
  <w:style w:type="paragraph" w:styleId="Heading3">
    <w:name w:val="heading 3"/>
    <w:basedOn w:val="BodyText"/>
    <w:next w:val="BodyText"/>
    <w:qFormat/>
    <w:rsid w:val="009625F4"/>
    <w:pPr>
      <w:keepNext/>
      <w:numPr>
        <w:ilvl w:val="2"/>
        <w:numId w:val="3"/>
      </w:numPr>
      <w:spacing w:before="120"/>
      <w:outlineLvl w:val="2"/>
    </w:pPr>
    <w:rPr>
      <w:rFonts w:cs="Arial"/>
      <w:b/>
      <w:bCs/>
      <w:color w:val="auto"/>
      <w:sz w:val="32"/>
      <w:szCs w:val="26"/>
    </w:rPr>
  </w:style>
  <w:style w:type="paragraph" w:styleId="Heading4">
    <w:name w:val="heading 4"/>
    <w:basedOn w:val="BodyText"/>
    <w:next w:val="BodyText"/>
    <w:qFormat/>
    <w:rsid w:val="009625F4"/>
    <w:pPr>
      <w:keepNext/>
      <w:numPr>
        <w:ilvl w:val="3"/>
        <w:numId w:val="3"/>
      </w:numPr>
      <w:spacing w:before="120"/>
      <w:outlineLvl w:val="3"/>
    </w:pPr>
    <w:rPr>
      <w:rFonts w:cs="Arial"/>
      <w:b/>
      <w:bCs/>
      <w:i/>
      <w:color w:val="auto"/>
      <w:sz w:val="28"/>
      <w:szCs w:val="28"/>
    </w:rPr>
  </w:style>
  <w:style w:type="paragraph" w:styleId="Heading5">
    <w:name w:val="heading 5"/>
    <w:basedOn w:val="BodyText"/>
    <w:next w:val="BodyText"/>
    <w:qFormat/>
    <w:rsid w:val="009625F4"/>
    <w:pPr>
      <w:numPr>
        <w:ilvl w:val="4"/>
        <w:numId w:val="3"/>
      </w:numPr>
      <w:spacing w:before="120"/>
      <w:outlineLvl w:val="4"/>
    </w:pPr>
    <w:rPr>
      <w:rFonts w:cs="Arial"/>
      <w:b/>
      <w:bCs/>
      <w:iCs/>
      <w:color w:val="auto"/>
      <w:sz w:val="26"/>
      <w:szCs w:val="26"/>
    </w:rPr>
  </w:style>
  <w:style w:type="paragraph" w:styleId="Heading6">
    <w:name w:val="heading 6"/>
    <w:basedOn w:val="Normal"/>
    <w:next w:val="BodyText"/>
    <w:qFormat/>
    <w:rsid w:val="009625F4"/>
    <w:pPr>
      <w:numPr>
        <w:ilvl w:val="5"/>
        <w:numId w:val="3"/>
      </w:numPr>
      <w:spacing w:before="120" w:after="120"/>
      <w:outlineLvl w:val="5"/>
    </w:pPr>
    <w:rPr>
      <w:rFonts w:cs="Arial"/>
      <w:b/>
      <w:bCs/>
      <w:i/>
      <w:sz w:val="24"/>
    </w:rPr>
  </w:style>
  <w:style w:type="paragraph" w:styleId="Heading7">
    <w:name w:val="heading 7"/>
    <w:basedOn w:val="Normal"/>
    <w:next w:val="Normal"/>
    <w:qFormat/>
    <w:pPr>
      <w:spacing w:before="240" w:after="60"/>
      <w:outlineLvl w:val="6"/>
    </w:pPr>
    <w:rPr>
      <w:rFonts w:ascii="Times New Roman" w:hAnsi="Times New Roman"/>
      <w:sz w:val="24"/>
      <w:szCs w:val="24"/>
    </w:rPr>
  </w:style>
  <w:style w:type="paragraph" w:styleId="Heading8">
    <w:name w:val="heading 8"/>
    <w:basedOn w:val="Normal"/>
    <w:next w:val="Normal"/>
    <w:qFormat/>
    <w:pPr>
      <w:spacing w:before="240" w:after="60"/>
      <w:outlineLvl w:val="7"/>
    </w:pPr>
    <w:rPr>
      <w:rFonts w:ascii="Times New Roman" w:hAnsi="Times New Roman"/>
      <w:i/>
      <w:iCs/>
      <w:sz w:val="24"/>
      <w:szCs w:val="24"/>
    </w:rPr>
  </w:style>
  <w:style w:type="paragraph" w:styleId="Heading9">
    <w:name w:val="heading 9"/>
    <w:basedOn w:val="Normal"/>
    <w:next w:val="Normal"/>
    <w:qFormat/>
    <w:pPr>
      <w:spacing w:before="240" w:after="60"/>
      <w:outlineLvl w:val="8"/>
    </w:pPr>
    <w:rPr>
      <w:rFonts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Text">
    <w:name w:val="*Body Text"/>
    <w:link w:val="BodyTextZchn"/>
    <w:qFormat/>
    <w:pPr>
      <w:spacing w:after="120"/>
    </w:pPr>
    <w:rPr>
      <w:rFonts w:ascii="Arial" w:hAnsi="Arial"/>
      <w:color w:val="000000"/>
      <w:sz w:val="22"/>
      <w:lang w:val="en-US" w:eastAsia="en-US"/>
    </w:rPr>
  </w:style>
  <w:style w:type="paragraph" w:customStyle="1" w:styleId="Bullet4Double0">
    <w:name w:val="*Bullet #4 Double"/>
    <w:basedOn w:val="BodyText"/>
    <w:rsid w:val="00D64F2D"/>
    <w:pPr>
      <w:numPr>
        <w:numId w:val="14"/>
      </w:numPr>
    </w:pPr>
  </w:style>
  <w:style w:type="paragraph" w:customStyle="1" w:styleId="BlindParagraph">
    <w:name w:val="*Blind Paragraph"/>
    <w:basedOn w:val="BodyText"/>
    <w:qFormat/>
    <w:rsid w:val="005934EC"/>
    <w:pPr>
      <w:spacing w:after="0"/>
    </w:pPr>
    <w:rPr>
      <w:sz w:val="4"/>
      <w:szCs w:val="4"/>
    </w:rPr>
  </w:style>
  <w:style w:type="paragraph" w:styleId="Header">
    <w:name w:val="header"/>
    <w:basedOn w:val="Normal"/>
    <w:semiHidden/>
    <w:pPr>
      <w:tabs>
        <w:tab w:val="center" w:pos="4320"/>
        <w:tab w:val="right" w:pos="8640"/>
      </w:tabs>
    </w:pPr>
  </w:style>
  <w:style w:type="paragraph" w:customStyle="1" w:styleId="Bullet4Single0">
    <w:name w:val="*Bullet #4 Single"/>
    <w:basedOn w:val="Bullet4Double0"/>
    <w:rsid w:val="00D64F2D"/>
    <w:pPr>
      <w:numPr>
        <w:numId w:val="15"/>
      </w:numPr>
      <w:spacing w:after="0"/>
    </w:pPr>
  </w:style>
  <w:style w:type="paragraph" w:customStyle="1" w:styleId="Bullet5Double0">
    <w:name w:val="*Bullet #5 Double"/>
    <w:basedOn w:val="BodyText"/>
    <w:rsid w:val="00D64F2D"/>
    <w:pPr>
      <w:numPr>
        <w:numId w:val="16"/>
      </w:numPr>
    </w:pPr>
  </w:style>
  <w:style w:type="paragraph" w:customStyle="1" w:styleId="Bullet5Single0">
    <w:name w:val="*Bullet #5 Single"/>
    <w:basedOn w:val="Bullet5Double0"/>
    <w:rsid w:val="00D64F2D"/>
    <w:pPr>
      <w:numPr>
        <w:numId w:val="17"/>
      </w:numPr>
      <w:spacing w:after="0"/>
    </w:pPr>
  </w:style>
  <w:style w:type="paragraph" w:customStyle="1" w:styleId="Heading10">
    <w:name w:val="*Heading 1"/>
    <w:basedOn w:val="BodyText"/>
    <w:next w:val="BodyText"/>
    <w:rsid w:val="00681802"/>
    <w:pPr>
      <w:keepNext/>
      <w:keepLines/>
      <w:pageBreakBefore/>
      <w:spacing w:before="120"/>
      <w:outlineLvl w:val="0"/>
    </w:pPr>
    <w:rPr>
      <w:rFonts w:cs="Arial"/>
      <w:b/>
      <w:color w:val="auto"/>
      <w:sz w:val="40"/>
      <w:szCs w:val="32"/>
    </w:rPr>
  </w:style>
  <w:style w:type="paragraph" w:customStyle="1" w:styleId="Bullet3SubtextDouble0">
    <w:name w:val="*Bullet #3 Subtext Double"/>
    <w:basedOn w:val="BodyText"/>
    <w:rsid w:val="00D64F2D"/>
    <w:pPr>
      <w:ind w:left="1080"/>
    </w:pPr>
  </w:style>
  <w:style w:type="paragraph" w:customStyle="1" w:styleId="HeadingManual1">
    <w:name w:val="*Heading Manual#1"/>
    <w:basedOn w:val="Heading10"/>
    <w:next w:val="BodyText"/>
    <w:pPr>
      <w:ind w:left="907" w:hanging="907"/>
    </w:pPr>
  </w:style>
  <w:style w:type="paragraph" w:customStyle="1" w:styleId="HeadingManual2">
    <w:name w:val="*Heading Manual#2"/>
    <w:basedOn w:val="Heading20"/>
    <w:next w:val="BodyText"/>
    <w:pPr>
      <w:tabs>
        <w:tab w:val="left" w:pos="1080"/>
      </w:tabs>
      <w:ind w:left="1080" w:hanging="1080"/>
    </w:pPr>
  </w:style>
  <w:style w:type="paragraph" w:customStyle="1" w:styleId="Heading20">
    <w:name w:val="*Heading 2"/>
    <w:next w:val="BodyText"/>
    <w:rsid w:val="00681802"/>
    <w:pPr>
      <w:keepNext/>
      <w:keepLines/>
      <w:spacing w:before="120" w:after="120"/>
      <w:outlineLvl w:val="1"/>
    </w:pPr>
    <w:rPr>
      <w:rFonts w:ascii="Arial" w:hAnsi="Arial" w:cs="Arial"/>
      <w:b/>
      <w:sz w:val="36"/>
      <w:szCs w:val="32"/>
      <w:lang w:val="en-US" w:eastAsia="en-US"/>
    </w:rPr>
  </w:style>
  <w:style w:type="paragraph" w:customStyle="1" w:styleId="HeadingManual3">
    <w:name w:val="*Heading Manual#3"/>
    <w:basedOn w:val="Heading30"/>
    <w:next w:val="BodyText"/>
    <w:pPr>
      <w:tabs>
        <w:tab w:val="left" w:pos="1267"/>
      </w:tabs>
      <w:ind w:left="1267" w:hanging="1267"/>
    </w:pPr>
  </w:style>
  <w:style w:type="paragraph" w:customStyle="1" w:styleId="Heading30">
    <w:name w:val="*Heading 3"/>
    <w:next w:val="BodyText"/>
    <w:link w:val="Heading3Char"/>
    <w:rsid w:val="00681802"/>
    <w:pPr>
      <w:keepNext/>
      <w:keepLines/>
      <w:spacing w:before="120" w:after="120"/>
      <w:outlineLvl w:val="2"/>
    </w:pPr>
    <w:rPr>
      <w:rFonts w:ascii="Arial" w:hAnsi="Arial" w:cs="Arial"/>
      <w:b/>
      <w:sz w:val="32"/>
      <w:szCs w:val="24"/>
      <w:lang w:val="en-US" w:eastAsia="en-US"/>
    </w:rPr>
  </w:style>
  <w:style w:type="paragraph" w:customStyle="1" w:styleId="HeadingManual4">
    <w:name w:val="*Heading Manual#4"/>
    <w:basedOn w:val="Heading40"/>
    <w:next w:val="BodyText"/>
    <w:rsid w:val="00261377"/>
    <w:pPr>
      <w:tabs>
        <w:tab w:val="left" w:pos="1440"/>
      </w:tabs>
      <w:ind w:left="1440" w:hanging="1440"/>
    </w:pPr>
  </w:style>
  <w:style w:type="paragraph" w:customStyle="1" w:styleId="Heading40">
    <w:name w:val="*Heading 4"/>
    <w:next w:val="BodyText"/>
    <w:rsid w:val="00681802"/>
    <w:pPr>
      <w:keepNext/>
      <w:keepLines/>
      <w:spacing w:before="120" w:after="120"/>
      <w:outlineLvl w:val="3"/>
    </w:pPr>
    <w:rPr>
      <w:rFonts w:ascii="Arial" w:hAnsi="Arial" w:cs="Arial"/>
      <w:b/>
      <w:i/>
      <w:sz w:val="28"/>
      <w:szCs w:val="24"/>
      <w:lang w:val="en-US" w:eastAsia="en-US"/>
    </w:rPr>
  </w:style>
  <w:style w:type="paragraph" w:customStyle="1" w:styleId="HeadingManual5">
    <w:name w:val="*Heading Manual#5"/>
    <w:basedOn w:val="Heading50"/>
    <w:next w:val="BodyText"/>
    <w:pPr>
      <w:tabs>
        <w:tab w:val="left" w:pos="1627"/>
      </w:tabs>
      <w:ind w:left="1627" w:hanging="1627"/>
    </w:pPr>
  </w:style>
  <w:style w:type="paragraph" w:customStyle="1" w:styleId="Heading50">
    <w:name w:val="*Heading 5"/>
    <w:next w:val="BodyText"/>
    <w:rsid w:val="00681802"/>
    <w:pPr>
      <w:keepNext/>
      <w:keepLines/>
      <w:spacing w:before="120" w:after="120"/>
      <w:outlineLvl w:val="4"/>
    </w:pPr>
    <w:rPr>
      <w:rFonts w:ascii="Arial" w:hAnsi="Arial" w:cs="Arial"/>
      <w:b/>
      <w:sz w:val="24"/>
      <w:szCs w:val="24"/>
      <w:lang w:val="en-US" w:eastAsia="en-US"/>
    </w:rPr>
  </w:style>
  <w:style w:type="paragraph" w:customStyle="1" w:styleId="BodySingle">
    <w:name w:val="*Body Single"/>
    <w:basedOn w:val="BodyText"/>
    <w:pPr>
      <w:spacing w:after="0"/>
    </w:pPr>
  </w:style>
  <w:style w:type="paragraph" w:customStyle="1" w:styleId="Bullet1Single">
    <w:name w:val="*Bullet #1 Single"/>
    <w:basedOn w:val="Bullet1Double"/>
    <w:link w:val="Bullet1SingleChar"/>
    <w:qFormat/>
    <w:rsid w:val="00D64F2D"/>
    <w:pPr>
      <w:numPr>
        <w:numId w:val="0"/>
      </w:numPr>
      <w:spacing w:after="0"/>
      <w:ind w:left="360" w:hanging="360"/>
    </w:pPr>
  </w:style>
  <w:style w:type="paragraph" w:customStyle="1" w:styleId="Bullet1Double">
    <w:name w:val="*Bullet #1 Double"/>
    <w:aliases w:val="Bullet 2,b2,b-2,bullet doub...,B,bubu,Bullet Paragraph,bullet 2 line,bod,b-,B1,Bullet 1,double,bullet single,b2b2,2nd level bullet,EDS sub bullet,bullet text,8,bullet double,bu,bullet2,B2,BL,bullet double-space,double bullet,bl,Bullet"/>
    <w:basedOn w:val="BodyText"/>
    <w:link w:val="Bullet1DoubleCharChar"/>
    <w:rsid w:val="00870BCA"/>
    <w:pPr>
      <w:numPr>
        <w:numId w:val="35"/>
      </w:numPr>
      <w:tabs>
        <w:tab w:val="clear" w:pos="0"/>
        <w:tab w:val="left" w:pos="360"/>
      </w:tabs>
      <w:ind w:left="360" w:hanging="360"/>
    </w:pPr>
  </w:style>
  <w:style w:type="paragraph" w:customStyle="1" w:styleId="Bullet2Single0">
    <w:name w:val="*Bullet #2 Single"/>
    <w:basedOn w:val="Bullet2Double"/>
    <w:qFormat/>
    <w:rsid w:val="00D64F2D"/>
    <w:pPr>
      <w:numPr>
        <w:numId w:val="0"/>
      </w:numPr>
      <w:spacing w:after="0"/>
      <w:ind w:left="720" w:hanging="360"/>
    </w:pPr>
  </w:style>
  <w:style w:type="paragraph" w:customStyle="1" w:styleId="Bullet2Double">
    <w:name w:val="*Bullet #2 Double"/>
    <w:basedOn w:val="BodyText"/>
    <w:rsid w:val="00AA6C80"/>
    <w:pPr>
      <w:numPr>
        <w:numId w:val="36"/>
      </w:numPr>
      <w:tabs>
        <w:tab w:val="clear" w:pos="360"/>
        <w:tab w:val="left" w:pos="720"/>
      </w:tabs>
      <w:ind w:left="720" w:hanging="360"/>
    </w:pPr>
  </w:style>
  <w:style w:type="paragraph" w:customStyle="1" w:styleId="Bullet3Single0">
    <w:name w:val="*Bullet #3 Single"/>
    <w:basedOn w:val="Bullet3Double"/>
    <w:rsid w:val="00D64F2D"/>
    <w:pPr>
      <w:numPr>
        <w:numId w:val="13"/>
      </w:numPr>
      <w:spacing w:after="0"/>
    </w:pPr>
  </w:style>
  <w:style w:type="paragraph" w:customStyle="1" w:styleId="Bullet3Double">
    <w:name w:val="*Bullet #3 Double"/>
    <w:basedOn w:val="BodyText"/>
    <w:rsid w:val="00D64F2D"/>
    <w:pPr>
      <w:numPr>
        <w:numId w:val="12"/>
      </w:numPr>
    </w:pPr>
  </w:style>
  <w:style w:type="paragraph" w:customStyle="1" w:styleId="NumbersAutoSingle">
    <w:name w:val="*Numbers (Auto) Single"/>
    <w:basedOn w:val="BodyText"/>
    <w:pPr>
      <w:numPr>
        <w:numId w:val="2"/>
      </w:numPr>
      <w:spacing w:after="0"/>
    </w:pPr>
    <w:rPr>
      <w:color w:val="auto"/>
    </w:rPr>
  </w:style>
  <w:style w:type="paragraph" w:customStyle="1" w:styleId="NumbersAutoBold">
    <w:name w:val="*Numbers (Auto) Bold"/>
    <w:basedOn w:val="BodyText"/>
    <w:pPr>
      <w:numPr>
        <w:numId w:val="6"/>
      </w:numPr>
      <w:spacing w:after="0"/>
    </w:pPr>
    <w:rPr>
      <w:b/>
    </w:rPr>
  </w:style>
  <w:style w:type="paragraph" w:customStyle="1" w:styleId="Heading60">
    <w:name w:val="*Heading 6"/>
    <w:next w:val="BodyText"/>
    <w:rsid w:val="00681802"/>
    <w:pPr>
      <w:keepNext/>
      <w:keepLines/>
      <w:spacing w:before="120" w:after="120"/>
      <w:outlineLvl w:val="5"/>
    </w:pPr>
    <w:rPr>
      <w:rFonts w:ascii="Arial" w:hAnsi="Arial" w:cs="Arial"/>
      <w:b/>
      <w:i/>
      <w:sz w:val="24"/>
      <w:lang w:val="en-US" w:eastAsia="en-US"/>
    </w:rPr>
  </w:style>
  <w:style w:type="character" w:styleId="Hyperlink">
    <w:name w:val="Hyperlink"/>
    <w:uiPriority w:val="99"/>
    <w:rPr>
      <w:rFonts w:ascii="Arial" w:hAnsi="Arial"/>
      <w:color w:val="0000FF"/>
      <w:sz w:val="22"/>
      <w:szCs w:val="18"/>
      <w:u w:val="single"/>
    </w:rPr>
  </w:style>
  <w:style w:type="paragraph" w:customStyle="1" w:styleId="TableFigureCaption">
    <w:name w:val="*Table/Figure Caption"/>
    <w:basedOn w:val="BodyText"/>
    <w:next w:val="BodyText"/>
    <w:pPr>
      <w:keepNext/>
    </w:pPr>
    <w:rPr>
      <w:b/>
      <w:color w:val="auto"/>
      <w:sz w:val="20"/>
      <w:szCs w:val="18"/>
    </w:rPr>
  </w:style>
  <w:style w:type="paragraph" w:customStyle="1" w:styleId="ProprietaryNotice">
    <w:name w:val="*Proprietary Notice"/>
    <w:rsid w:val="00062156"/>
    <w:pPr>
      <w:spacing w:line="200" w:lineRule="exact"/>
    </w:pPr>
    <w:rPr>
      <w:rFonts w:ascii="Arial" w:hAnsi="Arial"/>
      <w:sz w:val="16"/>
      <w:szCs w:val="16"/>
      <w:lang w:val="en-US" w:eastAsia="en-US"/>
    </w:rPr>
  </w:style>
  <w:style w:type="paragraph" w:customStyle="1" w:styleId="Footer">
    <w:name w:val="*Footer"/>
    <w:basedOn w:val="Header0"/>
    <w:qFormat/>
    <w:rsid w:val="00F5627A"/>
  </w:style>
  <w:style w:type="paragraph" w:customStyle="1" w:styleId="Header0">
    <w:name w:val="*Header"/>
    <w:basedOn w:val="BodyText"/>
    <w:rsid w:val="00F5627A"/>
    <w:pPr>
      <w:tabs>
        <w:tab w:val="right" w:pos="8856"/>
      </w:tabs>
      <w:spacing w:after="0"/>
      <w:jc w:val="both"/>
    </w:pPr>
    <w:rPr>
      <w:color w:val="auto"/>
      <w:sz w:val="18"/>
      <w:szCs w:val="18"/>
    </w:rPr>
  </w:style>
  <w:style w:type="paragraph" w:customStyle="1" w:styleId="Quotation">
    <w:name w:val="*Quotation"/>
    <w:basedOn w:val="BodyText"/>
    <w:next w:val="QuotationAttribute"/>
    <w:pPr>
      <w:spacing w:after="200"/>
      <w:ind w:left="720" w:right="720"/>
    </w:pPr>
    <w:rPr>
      <w:i/>
    </w:rPr>
  </w:style>
  <w:style w:type="paragraph" w:customStyle="1" w:styleId="QuotationAttribute">
    <w:name w:val="*Quotation Attribute"/>
    <w:basedOn w:val="BodyText"/>
    <w:next w:val="BodyText"/>
    <w:pPr>
      <w:numPr>
        <w:numId w:val="1"/>
      </w:numPr>
      <w:tabs>
        <w:tab w:val="clear" w:pos="936"/>
      </w:tabs>
      <w:ind w:left="1080" w:right="720" w:hanging="360"/>
    </w:pPr>
  </w:style>
  <w:style w:type="paragraph" w:customStyle="1" w:styleId="HeadingManual6">
    <w:name w:val="*Heading Manual#6"/>
    <w:basedOn w:val="Heading60"/>
    <w:next w:val="BodyText"/>
    <w:pPr>
      <w:tabs>
        <w:tab w:val="left" w:pos="1800"/>
      </w:tabs>
      <w:ind w:left="1800" w:hanging="1800"/>
    </w:pPr>
  </w:style>
  <w:style w:type="paragraph" w:customStyle="1" w:styleId="TableCaptionAuto">
    <w:name w:val="*Table Caption Auto#"/>
    <w:basedOn w:val="TableFigureCaption"/>
    <w:next w:val="BodyText"/>
    <w:pPr>
      <w:numPr>
        <w:numId w:val="4"/>
      </w:numPr>
      <w:tabs>
        <w:tab w:val="clear" w:pos="432"/>
        <w:tab w:val="left" w:pos="1080"/>
      </w:tabs>
      <w:ind w:left="1080" w:hanging="1080"/>
    </w:pPr>
  </w:style>
  <w:style w:type="paragraph" w:customStyle="1" w:styleId="FigureCaptionAuto">
    <w:name w:val="*Figure Caption Auto#"/>
    <w:basedOn w:val="TableFigureCaption"/>
    <w:next w:val="BodyText"/>
    <w:pPr>
      <w:numPr>
        <w:numId w:val="5"/>
      </w:numPr>
      <w:ind w:left="1080" w:hanging="1080"/>
    </w:pPr>
  </w:style>
  <w:style w:type="paragraph" w:styleId="Footer0">
    <w:name w:val="footer"/>
    <w:basedOn w:val="Normal"/>
    <w:semiHidden/>
    <w:pPr>
      <w:tabs>
        <w:tab w:val="center" w:pos="4320"/>
        <w:tab w:val="right" w:pos="8640"/>
      </w:tabs>
    </w:pPr>
  </w:style>
  <w:style w:type="paragraph" w:styleId="TOC1">
    <w:name w:val="toc 1"/>
    <w:next w:val="BodyText"/>
    <w:uiPriority w:val="39"/>
    <w:pPr>
      <w:tabs>
        <w:tab w:val="left" w:pos="360"/>
        <w:tab w:val="right" w:leader="dot" w:pos="8856"/>
      </w:tabs>
      <w:spacing w:before="60" w:after="60" w:line="220" w:lineRule="atLeast"/>
    </w:pPr>
    <w:rPr>
      <w:rFonts w:ascii="Arial" w:hAnsi="Arial"/>
      <w:sz w:val="22"/>
      <w:lang w:val="en-US" w:eastAsia="en-US"/>
    </w:rPr>
  </w:style>
  <w:style w:type="paragraph" w:styleId="TOC2">
    <w:name w:val="toc 2"/>
    <w:next w:val="BodyText"/>
    <w:uiPriority w:val="39"/>
    <w:pPr>
      <w:tabs>
        <w:tab w:val="left" w:pos="900"/>
        <w:tab w:val="right" w:leader="dot" w:pos="8856"/>
      </w:tabs>
      <w:spacing w:line="220" w:lineRule="atLeast"/>
      <w:ind w:left="288"/>
    </w:pPr>
    <w:rPr>
      <w:rFonts w:ascii="Arial" w:hAnsi="Arial"/>
      <w:sz w:val="22"/>
      <w:szCs w:val="18"/>
      <w:lang w:val="en-US" w:eastAsia="en-US"/>
    </w:rPr>
  </w:style>
  <w:style w:type="paragraph" w:styleId="TOC3">
    <w:name w:val="toc 3"/>
    <w:next w:val="BodyText"/>
    <w:uiPriority w:val="39"/>
    <w:pPr>
      <w:tabs>
        <w:tab w:val="left" w:pos="1440"/>
        <w:tab w:val="right" w:leader="dot" w:pos="8856"/>
      </w:tabs>
      <w:spacing w:line="220" w:lineRule="atLeast"/>
      <w:ind w:left="576"/>
    </w:pPr>
    <w:rPr>
      <w:rFonts w:ascii="Arial" w:hAnsi="Arial"/>
      <w:sz w:val="22"/>
      <w:szCs w:val="18"/>
      <w:lang w:val="en-US" w:eastAsia="en-US"/>
    </w:rPr>
  </w:style>
  <w:style w:type="paragraph" w:styleId="TOC4">
    <w:name w:val="toc 4"/>
    <w:next w:val="BodyText"/>
    <w:uiPriority w:val="39"/>
    <w:rsid w:val="00534F44"/>
    <w:pPr>
      <w:tabs>
        <w:tab w:val="left" w:pos="1872"/>
        <w:tab w:val="right" w:leader="dot" w:pos="8856"/>
      </w:tabs>
      <w:ind w:left="864"/>
    </w:pPr>
    <w:rPr>
      <w:rFonts w:ascii="Arial" w:hAnsi="Arial"/>
      <w:color w:val="000000"/>
      <w:szCs w:val="18"/>
      <w:lang w:val="en-US" w:eastAsia="en-US"/>
    </w:rPr>
  </w:style>
  <w:style w:type="paragraph" w:styleId="TOC5">
    <w:name w:val="toc 5"/>
    <w:next w:val="BodyText"/>
    <w:uiPriority w:val="39"/>
    <w:pPr>
      <w:tabs>
        <w:tab w:val="left" w:pos="2304"/>
        <w:tab w:val="right" w:leader="dot" w:pos="8856"/>
      </w:tabs>
      <w:ind w:left="1152"/>
    </w:pPr>
    <w:rPr>
      <w:rFonts w:ascii="Arial" w:hAnsi="Arial"/>
      <w:color w:val="000000"/>
      <w:lang w:val="en-US" w:eastAsia="en-US"/>
    </w:rPr>
  </w:style>
  <w:style w:type="paragraph" w:styleId="TOC6">
    <w:name w:val="toc 6"/>
    <w:basedOn w:val="Normal"/>
    <w:next w:val="BodyText"/>
    <w:uiPriority w:val="39"/>
    <w:pPr>
      <w:tabs>
        <w:tab w:val="left" w:pos="2736"/>
        <w:tab w:val="right" w:leader="dot" w:pos="8856"/>
      </w:tabs>
      <w:ind w:left="1440"/>
    </w:pPr>
    <w:rPr>
      <w:sz w:val="20"/>
    </w:rPr>
  </w:style>
  <w:style w:type="paragraph" w:styleId="TOC7">
    <w:name w:val="toc 7"/>
    <w:basedOn w:val="Normal"/>
    <w:next w:val="BodyText"/>
    <w:uiPriority w:val="39"/>
    <w:pPr>
      <w:tabs>
        <w:tab w:val="right" w:leader="dot" w:pos="8856"/>
      </w:tabs>
      <w:ind w:left="2952" w:hanging="1152"/>
    </w:pPr>
    <w:rPr>
      <w:sz w:val="20"/>
    </w:rPr>
  </w:style>
  <w:style w:type="paragraph" w:styleId="TOC8">
    <w:name w:val="toc 8"/>
    <w:basedOn w:val="Normal"/>
    <w:next w:val="BodyText"/>
    <w:uiPriority w:val="39"/>
    <w:pPr>
      <w:tabs>
        <w:tab w:val="right" w:leader="dot" w:pos="8640"/>
      </w:tabs>
      <w:ind w:left="3456" w:hanging="1296"/>
    </w:pPr>
    <w:rPr>
      <w:sz w:val="20"/>
    </w:rPr>
  </w:style>
  <w:style w:type="paragraph" w:styleId="TOC9">
    <w:name w:val="toc 9"/>
    <w:basedOn w:val="Normal"/>
    <w:next w:val="BodyText"/>
    <w:uiPriority w:val="39"/>
    <w:pPr>
      <w:tabs>
        <w:tab w:val="right" w:leader="dot" w:pos="8640"/>
      </w:tabs>
      <w:ind w:left="3960" w:hanging="1440"/>
    </w:pPr>
    <w:rPr>
      <w:sz w:val="20"/>
    </w:rPr>
  </w:style>
  <w:style w:type="character" w:styleId="FollowedHyperlink">
    <w:name w:val="FollowedHyperlink"/>
    <w:semiHidden/>
    <w:rPr>
      <w:rFonts w:ascii="Arial" w:hAnsi="Arial"/>
      <w:color w:val="800080"/>
      <w:sz w:val="22"/>
      <w:u w:val="single"/>
    </w:rPr>
  </w:style>
  <w:style w:type="paragraph" w:customStyle="1" w:styleId="Headline">
    <w:name w:val="Headline"/>
    <w:basedOn w:val="Normal"/>
    <w:pPr>
      <w:suppressAutoHyphens/>
      <w:spacing w:line="280" w:lineRule="exact"/>
    </w:pPr>
    <w:rPr>
      <w:sz w:val="24"/>
    </w:rPr>
  </w:style>
  <w:style w:type="character" w:styleId="PageNumber">
    <w:name w:val="page number"/>
    <w:semiHidden/>
    <w:rPr>
      <w:rFonts w:ascii="Arial" w:hAnsi="Arial"/>
      <w:sz w:val="18"/>
      <w:szCs w:val="18"/>
    </w:rPr>
  </w:style>
  <w:style w:type="paragraph" w:customStyle="1" w:styleId="DefaultText">
    <w:name w:val="Default Text"/>
    <w:basedOn w:val="Normal"/>
    <w:pPr>
      <w:suppressAutoHyphens/>
      <w:spacing w:line="240" w:lineRule="exact"/>
      <w:ind w:left="3289"/>
    </w:pPr>
  </w:style>
  <w:style w:type="paragraph" w:customStyle="1" w:styleId="TopLine">
    <w:name w:val="Top Line"/>
    <w:basedOn w:val="Normal"/>
    <w:pPr>
      <w:pBdr>
        <w:bottom w:val="single" w:sz="18" w:space="1" w:color="auto"/>
      </w:pBdr>
    </w:pPr>
  </w:style>
  <w:style w:type="paragraph" w:customStyle="1" w:styleId="Response">
    <w:name w:val="*Response"/>
    <w:basedOn w:val="BodyText"/>
    <w:next w:val="BodyText"/>
    <w:pPr>
      <w:keepNext/>
    </w:pPr>
    <w:rPr>
      <w:b/>
      <w:i/>
      <w:color w:val="auto"/>
    </w:rPr>
  </w:style>
  <w:style w:type="paragraph" w:customStyle="1" w:styleId="BodyTextBold">
    <w:name w:val="*Body Text Bold"/>
    <w:basedOn w:val="BodyText"/>
    <w:next w:val="BodyText"/>
    <w:rPr>
      <w:b/>
      <w:color w:val="auto"/>
    </w:rPr>
  </w:style>
  <w:style w:type="paragraph" w:customStyle="1" w:styleId="Bullet1SubtextSingle">
    <w:name w:val="*Bullet #1 Subtext Single"/>
    <w:basedOn w:val="Bullet1SubtextDouble0"/>
    <w:qFormat/>
    <w:rsid w:val="00D64F2D"/>
    <w:pPr>
      <w:spacing w:after="0"/>
    </w:pPr>
  </w:style>
  <w:style w:type="paragraph" w:customStyle="1" w:styleId="Bullet1SubtextDouble0">
    <w:name w:val="*Bullet #1 Subtext Double"/>
    <w:basedOn w:val="BodyText"/>
    <w:rsid w:val="00D64F2D"/>
    <w:pPr>
      <w:ind w:left="360"/>
    </w:pPr>
  </w:style>
  <w:style w:type="paragraph" w:customStyle="1" w:styleId="Bullet2SubtextSingle0">
    <w:name w:val="*Bullet #2 Subtext Single"/>
    <w:basedOn w:val="Bullet2SubtextDouble0"/>
    <w:rsid w:val="00D64F2D"/>
    <w:pPr>
      <w:spacing w:after="0"/>
    </w:pPr>
  </w:style>
  <w:style w:type="paragraph" w:customStyle="1" w:styleId="Bullet2SubtextDouble0">
    <w:name w:val="*Bullet #2 Subtext Double"/>
    <w:basedOn w:val="BodyText"/>
    <w:rsid w:val="00D64F2D"/>
    <w:pPr>
      <w:ind w:left="720"/>
    </w:pPr>
  </w:style>
  <w:style w:type="paragraph" w:customStyle="1" w:styleId="Bullet3SubtextSingle0">
    <w:name w:val="*Bullet #3 Subtext Single"/>
    <w:basedOn w:val="Bullet3SubtextDouble0"/>
    <w:rsid w:val="00D64F2D"/>
    <w:pPr>
      <w:spacing w:after="0"/>
    </w:pPr>
  </w:style>
  <w:style w:type="paragraph" w:customStyle="1" w:styleId="InfoText">
    <w:name w:val="*Info Text"/>
    <w:basedOn w:val="BodyText"/>
    <w:rPr>
      <w:sz w:val="20"/>
    </w:rPr>
  </w:style>
  <w:style w:type="paragraph" w:customStyle="1" w:styleId="NumbersAutoDouble">
    <w:name w:val="*Numbers (Auto) Double"/>
    <w:basedOn w:val="BodyText"/>
    <w:rsid w:val="00497D59"/>
    <w:pPr>
      <w:numPr>
        <w:numId w:val="7"/>
      </w:numPr>
    </w:pPr>
  </w:style>
  <w:style w:type="paragraph" w:customStyle="1" w:styleId="CoverText1">
    <w:name w:val="*Cover Text 1"/>
    <w:basedOn w:val="BodyText"/>
    <w:rsid w:val="00681802"/>
    <w:pPr>
      <w:spacing w:after="0"/>
    </w:pPr>
    <w:rPr>
      <w:rFonts w:cs="Arial"/>
      <w:color w:val="auto"/>
      <w:sz w:val="44"/>
      <w:szCs w:val="44"/>
    </w:rPr>
  </w:style>
  <w:style w:type="paragraph" w:customStyle="1" w:styleId="ConfidentialityNotice">
    <w:name w:val="*Confidentiality Notice"/>
    <w:basedOn w:val="BodyText"/>
    <w:rsid w:val="00370AF1"/>
    <w:rPr>
      <w:color w:val="auto"/>
      <w:sz w:val="18"/>
    </w:rPr>
  </w:style>
  <w:style w:type="paragraph" w:customStyle="1" w:styleId="TableofContents">
    <w:name w:val="*Table of Contents"/>
    <w:basedOn w:val="NoticeHeading"/>
    <w:next w:val="BodyText"/>
  </w:style>
  <w:style w:type="paragraph" w:customStyle="1" w:styleId="NoticeHeading">
    <w:name w:val="*Notice Heading"/>
    <w:basedOn w:val="Heading10"/>
    <w:next w:val="ConfidentialityNotice"/>
    <w:rsid w:val="00832E96"/>
    <w:pPr>
      <w:outlineLvl w:val="9"/>
    </w:pPr>
    <w:rPr>
      <w:b w:val="0"/>
      <w:sz w:val="36"/>
      <w:szCs w:val="36"/>
    </w:rPr>
  </w:style>
  <w:style w:type="paragraph" w:customStyle="1" w:styleId="CoverText2">
    <w:name w:val="*Cover Text 2"/>
    <w:basedOn w:val="BodyText"/>
    <w:rsid w:val="00C81C23"/>
    <w:pPr>
      <w:spacing w:after="0"/>
      <w:ind w:left="173"/>
    </w:pPr>
    <w:rPr>
      <w:color w:val="auto"/>
      <w:sz w:val="24"/>
      <w:szCs w:val="24"/>
    </w:rPr>
  </w:style>
  <w:style w:type="paragraph" w:customStyle="1" w:styleId="BulletSubnumber0">
    <w:name w:val="*Bullet Subnumber"/>
    <w:basedOn w:val="BodyText"/>
    <w:rsid w:val="00D64F2D"/>
    <w:pPr>
      <w:tabs>
        <w:tab w:val="left" w:pos="720"/>
      </w:tabs>
      <w:ind w:left="720" w:hanging="360"/>
    </w:pPr>
    <w:rPr>
      <w:color w:val="auto"/>
    </w:rPr>
  </w:style>
  <w:style w:type="paragraph" w:styleId="BalloonText">
    <w:name w:val="Balloon Text"/>
    <w:basedOn w:val="Normal"/>
    <w:semiHidden/>
    <w:rPr>
      <w:rFonts w:ascii="Tahoma" w:hAnsi="Tahoma" w:cs="Tahoma"/>
      <w:sz w:val="16"/>
      <w:szCs w:val="16"/>
    </w:rPr>
  </w:style>
  <w:style w:type="paragraph" w:styleId="Index1">
    <w:name w:val="index 1"/>
    <w:basedOn w:val="Normal"/>
    <w:next w:val="Normal"/>
    <w:autoRedefine/>
    <w:semiHidden/>
    <w:pPr>
      <w:ind w:left="220" w:hanging="220"/>
    </w:pPr>
  </w:style>
  <w:style w:type="paragraph" w:customStyle="1" w:styleId="HeaderFooterText">
    <w:name w:val="Header_FooterText"/>
    <w:pPr>
      <w:spacing w:line="170" w:lineRule="exact"/>
    </w:pPr>
    <w:rPr>
      <w:rFonts w:ascii="Arial" w:hAnsi="Arial"/>
      <w:b/>
      <w:color w:val="000000"/>
      <w:sz w:val="14"/>
      <w:szCs w:val="14"/>
      <w:lang w:val="en-US" w:eastAsia="en-US"/>
    </w:rPr>
  </w:style>
  <w:style w:type="paragraph" w:customStyle="1" w:styleId="AltNumbers">
    <w:name w:val="*Alt Numbers"/>
    <w:basedOn w:val="BodyText"/>
    <w:pPr>
      <w:tabs>
        <w:tab w:val="left" w:pos="1440"/>
      </w:tabs>
      <w:spacing w:after="0"/>
      <w:ind w:left="1440" w:hanging="1440"/>
    </w:pPr>
  </w:style>
  <w:style w:type="paragraph" w:customStyle="1" w:styleId="AltNumbersDouble">
    <w:name w:val="*Alt Numbers Double"/>
    <w:basedOn w:val="AltNumbers"/>
    <w:rsid w:val="0013619B"/>
    <w:pPr>
      <w:spacing w:after="120"/>
    </w:pPr>
  </w:style>
  <w:style w:type="paragraph" w:customStyle="1" w:styleId="AltNumbersBold">
    <w:name w:val="*Alt Numbers Bold"/>
    <w:basedOn w:val="AltNumbers"/>
    <w:rPr>
      <w:b/>
    </w:rPr>
  </w:style>
  <w:style w:type="paragraph" w:customStyle="1" w:styleId="Numbers1Single">
    <w:name w:val="*Numbers #1 Single"/>
    <w:basedOn w:val="NumbersAutoSingle"/>
    <w:pPr>
      <w:numPr>
        <w:numId w:val="0"/>
      </w:numPr>
      <w:ind w:left="360" w:hanging="360"/>
    </w:pPr>
  </w:style>
  <w:style w:type="paragraph" w:customStyle="1" w:styleId="NumbersBold">
    <w:name w:val="*Numbers Bold"/>
    <w:basedOn w:val="Numbers1Single"/>
    <w:rPr>
      <w:b/>
    </w:rPr>
  </w:style>
  <w:style w:type="paragraph" w:customStyle="1" w:styleId="Numbers1Double">
    <w:name w:val="*Numbers #1 Double"/>
    <w:basedOn w:val="Numbers1Single"/>
    <w:rsid w:val="001C7029"/>
    <w:pPr>
      <w:spacing w:after="120"/>
    </w:pPr>
  </w:style>
  <w:style w:type="paragraph" w:customStyle="1" w:styleId="Subheading">
    <w:name w:val="*Subheading"/>
    <w:basedOn w:val="BodyText"/>
    <w:next w:val="BodyText"/>
    <w:rsid w:val="00681802"/>
    <w:pPr>
      <w:keepNext/>
    </w:pPr>
    <w:rPr>
      <w:rFonts w:cs="Arial"/>
      <w:b/>
      <w:color w:val="auto"/>
    </w:rPr>
  </w:style>
  <w:style w:type="paragraph" w:customStyle="1" w:styleId="TableText10Single">
    <w:name w:val="*Table Text 10 Single"/>
    <w:basedOn w:val="BodyText"/>
    <w:link w:val="TableText10SingleChar"/>
    <w:pPr>
      <w:spacing w:after="0"/>
    </w:pPr>
    <w:rPr>
      <w:sz w:val="20"/>
    </w:rPr>
  </w:style>
  <w:style w:type="paragraph" w:customStyle="1" w:styleId="TableText10Bold">
    <w:name w:val="*Table Text 10 Bold"/>
    <w:basedOn w:val="TableText10Single"/>
    <w:rPr>
      <w:b/>
    </w:rPr>
  </w:style>
  <w:style w:type="paragraph" w:customStyle="1" w:styleId="TableText10Double">
    <w:name w:val="*Table Text 10 Double"/>
    <w:basedOn w:val="TableText10Single"/>
    <w:pPr>
      <w:spacing w:after="60"/>
    </w:pPr>
  </w:style>
  <w:style w:type="paragraph" w:customStyle="1" w:styleId="TableText10Bullet1Single">
    <w:name w:val="*Table Text 10 Bullet #1 Single"/>
    <w:basedOn w:val="Normal"/>
    <w:rsid w:val="00D64F2D"/>
    <w:pPr>
      <w:numPr>
        <w:numId w:val="34"/>
      </w:numPr>
      <w:tabs>
        <w:tab w:val="left" w:pos="216"/>
      </w:tabs>
    </w:pPr>
    <w:rPr>
      <w:sz w:val="20"/>
    </w:rPr>
  </w:style>
  <w:style w:type="paragraph" w:customStyle="1" w:styleId="TableText10Bullet1Double">
    <w:name w:val="*Table Text 10 Bullet #1 Double"/>
    <w:basedOn w:val="TableText10Bullet1Single"/>
    <w:rsid w:val="00D64F2D"/>
    <w:pPr>
      <w:spacing w:after="60"/>
      <w:ind w:left="216" w:hanging="216"/>
    </w:pPr>
  </w:style>
  <w:style w:type="paragraph" w:customStyle="1" w:styleId="TableText10Bullet2Single">
    <w:name w:val="*Table Text 10 Bullet #2 Single"/>
    <w:basedOn w:val="Normal"/>
    <w:rsid w:val="00D64F2D"/>
    <w:pPr>
      <w:numPr>
        <w:numId w:val="33"/>
      </w:numPr>
      <w:tabs>
        <w:tab w:val="left" w:pos="432"/>
      </w:tabs>
    </w:pPr>
    <w:rPr>
      <w:sz w:val="20"/>
    </w:rPr>
  </w:style>
  <w:style w:type="paragraph" w:customStyle="1" w:styleId="TableText10Bullet2Double">
    <w:name w:val="*Table Text 10 Bullet #2 Double"/>
    <w:basedOn w:val="TableText10Bullet2Single"/>
    <w:rsid w:val="00D64F2D"/>
    <w:pPr>
      <w:numPr>
        <w:numId w:val="32"/>
      </w:numPr>
      <w:tabs>
        <w:tab w:val="clear" w:pos="432"/>
      </w:tabs>
      <w:spacing w:after="60"/>
    </w:pPr>
  </w:style>
  <w:style w:type="paragraph" w:customStyle="1" w:styleId="TableText11Single">
    <w:name w:val="*Table Text 11 Single"/>
    <w:basedOn w:val="TableText10Single"/>
    <w:rPr>
      <w:sz w:val="22"/>
    </w:rPr>
  </w:style>
  <w:style w:type="paragraph" w:customStyle="1" w:styleId="TableText11Bold">
    <w:name w:val="*Table Text 11 Bold"/>
    <w:basedOn w:val="TableText11Single"/>
    <w:rPr>
      <w:b/>
    </w:rPr>
  </w:style>
  <w:style w:type="paragraph" w:customStyle="1" w:styleId="TableText11Double">
    <w:name w:val="*Table Text 11 Double"/>
    <w:basedOn w:val="TableText11Single"/>
    <w:pPr>
      <w:spacing w:after="60"/>
    </w:pPr>
  </w:style>
  <w:style w:type="paragraph" w:customStyle="1" w:styleId="TableText8Bullet1Single">
    <w:name w:val="*Table Text 8 Bullet #1 Single"/>
    <w:basedOn w:val="TableText10Bullet1Single"/>
    <w:qFormat/>
    <w:rsid w:val="00D64F2D"/>
    <w:pPr>
      <w:ind w:left="216" w:hanging="216"/>
    </w:pPr>
    <w:rPr>
      <w:sz w:val="16"/>
    </w:rPr>
  </w:style>
  <w:style w:type="paragraph" w:customStyle="1" w:styleId="TableText8Bullet1Double">
    <w:name w:val="*Table Text 8 Bullet #1 Double"/>
    <w:basedOn w:val="TableText10Bullet1Double"/>
    <w:qFormat/>
    <w:rsid w:val="00D64F2D"/>
    <w:rPr>
      <w:sz w:val="16"/>
    </w:rPr>
  </w:style>
  <w:style w:type="paragraph" w:customStyle="1" w:styleId="TableText11Bullet2Single">
    <w:name w:val="*Table Text 11 Bullet #2 Single"/>
    <w:basedOn w:val="TableText10Bullet2Single"/>
    <w:rsid w:val="00D64F2D"/>
    <w:pPr>
      <w:ind w:left="432" w:hanging="216"/>
    </w:pPr>
    <w:rPr>
      <w:sz w:val="22"/>
    </w:rPr>
  </w:style>
  <w:style w:type="paragraph" w:customStyle="1" w:styleId="TableText8Bullet2Single">
    <w:name w:val="*Table Text 8 Bullet #2 Single"/>
    <w:basedOn w:val="TableText10Bullet2Single"/>
    <w:qFormat/>
    <w:rsid w:val="00D64F2D"/>
    <w:pPr>
      <w:ind w:left="432" w:hanging="216"/>
    </w:pPr>
    <w:rPr>
      <w:sz w:val="16"/>
    </w:rPr>
  </w:style>
  <w:style w:type="paragraph" w:customStyle="1" w:styleId="TableText8Single">
    <w:name w:val="*Table Text 8 Single"/>
    <w:basedOn w:val="TableText10Single"/>
    <w:rPr>
      <w:sz w:val="16"/>
    </w:rPr>
  </w:style>
  <w:style w:type="paragraph" w:customStyle="1" w:styleId="TableText8Bold">
    <w:name w:val="*Table Text 8 Bold"/>
    <w:basedOn w:val="TableText8Single"/>
    <w:rPr>
      <w:b/>
    </w:rPr>
  </w:style>
  <w:style w:type="paragraph" w:customStyle="1" w:styleId="TableText8Double">
    <w:name w:val="*Table Text 8 Double"/>
    <w:basedOn w:val="TableText8Single"/>
    <w:pPr>
      <w:spacing w:after="60"/>
    </w:pPr>
  </w:style>
  <w:style w:type="paragraph" w:customStyle="1" w:styleId="TableText8Bullet2Double">
    <w:name w:val="*Table Text 8 Bullet #2 Double"/>
    <w:basedOn w:val="TableText10Bullet2Double"/>
    <w:qFormat/>
    <w:rsid w:val="00D64F2D"/>
    <w:pPr>
      <w:ind w:left="432" w:hanging="216"/>
    </w:pPr>
    <w:rPr>
      <w:sz w:val="16"/>
    </w:rPr>
  </w:style>
  <w:style w:type="paragraph" w:customStyle="1" w:styleId="TableText9Bullet1Single">
    <w:name w:val="*Table Text 9 Bullet #1 Single"/>
    <w:basedOn w:val="TableText10Bullet1Single"/>
    <w:qFormat/>
    <w:rsid w:val="00D64F2D"/>
    <w:pPr>
      <w:ind w:left="216" w:hanging="216"/>
    </w:pPr>
    <w:rPr>
      <w:sz w:val="18"/>
    </w:rPr>
  </w:style>
  <w:style w:type="paragraph" w:customStyle="1" w:styleId="TableText9Bullet2Single">
    <w:name w:val="*Table Text 9 Bullet #2 Single"/>
    <w:basedOn w:val="TableText10Bullet2Single"/>
    <w:qFormat/>
    <w:rsid w:val="00D64F2D"/>
    <w:pPr>
      <w:ind w:left="432" w:hanging="216"/>
    </w:pPr>
    <w:rPr>
      <w:sz w:val="18"/>
    </w:rPr>
  </w:style>
  <w:style w:type="paragraph" w:customStyle="1" w:styleId="TableText11Bullet1Single">
    <w:name w:val="*Table Text 11 Bullet #1 Single"/>
    <w:basedOn w:val="TableText10Bullet1Single"/>
    <w:qFormat/>
    <w:rsid w:val="00D64F2D"/>
    <w:pPr>
      <w:ind w:left="216" w:hanging="216"/>
    </w:pPr>
    <w:rPr>
      <w:sz w:val="22"/>
    </w:rPr>
  </w:style>
  <w:style w:type="paragraph" w:customStyle="1" w:styleId="AltNumbers0">
    <w:name w:val="~Alt Numbers"/>
    <w:basedOn w:val="AltNumbers"/>
    <w:rsid w:val="007978B5"/>
    <w:pPr>
      <w:shd w:val="clear" w:color="auto" w:fill="DBDCDD"/>
    </w:pPr>
    <w:rPr>
      <w:color w:val="auto"/>
    </w:rPr>
  </w:style>
  <w:style w:type="paragraph" w:customStyle="1" w:styleId="AltNumbersBold0">
    <w:name w:val="~Alt Numbers Bold"/>
    <w:basedOn w:val="AltNumbersBold"/>
    <w:rsid w:val="007978B5"/>
    <w:pPr>
      <w:shd w:val="clear" w:color="auto" w:fill="DBDCDD"/>
    </w:pPr>
    <w:rPr>
      <w:color w:val="auto"/>
    </w:rPr>
  </w:style>
  <w:style w:type="paragraph" w:customStyle="1" w:styleId="AltNumbersDouble0">
    <w:name w:val="~Alt Numbers Double"/>
    <w:basedOn w:val="AltNumbersDouble"/>
    <w:rsid w:val="007978B5"/>
    <w:pPr>
      <w:shd w:val="clear" w:color="auto" w:fill="DBDCDD"/>
    </w:pPr>
    <w:rPr>
      <w:color w:val="auto"/>
    </w:rPr>
  </w:style>
  <w:style w:type="paragraph" w:customStyle="1" w:styleId="BlindParagraph0">
    <w:name w:val="~Blind Paragraph"/>
    <w:basedOn w:val="Normal"/>
    <w:rsid w:val="007978B5"/>
    <w:pPr>
      <w:shd w:val="clear" w:color="auto" w:fill="DBDCDD"/>
      <w:tabs>
        <w:tab w:val="center" w:pos="4320"/>
        <w:tab w:val="right" w:pos="8640"/>
      </w:tabs>
      <w:spacing w:line="80" w:lineRule="exact"/>
    </w:pPr>
    <w:rPr>
      <w:sz w:val="4"/>
      <w:szCs w:val="4"/>
    </w:rPr>
  </w:style>
  <w:style w:type="paragraph" w:customStyle="1" w:styleId="BodySingle0">
    <w:name w:val="~Body Single"/>
    <w:basedOn w:val="BodySingle"/>
    <w:rsid w:val="007978B5"/>
    <w:pPr>
      <w:shd w:val="clear" w:color="auto" w:fill="DBDCDD"/>
    </w:pPr>
    <w:rPr>
      <w:color w:val="auto"/>
    </w:rPr>
  </w:style>
  <w:style w:type="paragraph" w:customStyle="1" w:styleId="BodyText0">
    <w:name w:val="~Body Text"/>
    <w:basedOn w:val="BodyText"/>
    <w:rsid w:val="007978B5"/>
    <w:pPr>
      <w:shd w:val="clear" w:color="auto" w:fill="DBDCDD"/>
    </w:pPr>
    <w:rPr>
      <w:color w:val="auto"/>
    </w:rPr>
  </w:style>
  <w:style w:type="paragraph" w:customStyle="1" w:styleId="BodyTextBold0">
    <w:name w:val="~Body Text Bold"/>
    <w:basedOn w:val="BodyTextBold"/>
    <w:rsid w:val="007978B5"/>
    <w:pPr>
      <w:shd w:val="clear" w:color="auto" w:fill="DBDCDD"/>
    </w:pPr>
  </w:style>
  <w:style w:type="paragraph" w:customStyle="1" w:styleId="Bullet1Double0">
    <w:name w:val="~Bullet #1 Double"/>
    <w:basedOn w:val="Bullet1Double"/>
    <w:rsid w:val="00D64F2D"/>
    <w:pPr>
      <w:numPr>
        <w:numId w:val="0"/>
      </w:numPr>
      <w:shd w:val="clear" w:color="auto" w:fill="E5E8E8"/>
      <w:ind w:left="360" w:hanging="360"/>
    </w:pPr>
    <w:rPr>
      <w:color w:val="auto"/>
    </w:rPr>
  </w:style>
  <w:style w:type="paragraph" w:customStyle="1" w:styleId="Bullet1Single0">
    <w:name w:val="~Bullet #1 Single"/>
    <w:basedOn w:val="BodyText"/>
    <w:rsid w:val="00D64F2D"/>
    <w:pPr>
      <w:shd w:val="clear" w:color="auto" w:fill="E5E8E8"/>
      <w:tabs>
        <w:tab w:val="left" w:pos="360"/>
      </w:tabs>
      <w:spacing w:after="0"/>
      <w:ind w:left="360" w:hanging="360"/>
    </w:pPr>
    <w:rPr>
      <w:color w:val="auto"/>
    </w:rPr>
  </w:style>
  <w:style w:type="paragraph" w:customStyle="1" w:styleId="Bullet1SubtextDouble">
    <w:name w:val="~Bullet #1 Subtext Double"/>
    <w:basedOn w:val="Bullet1SubtextDouble0"/>
    <w:rsid w:val="00D64F2D"/>
    <w:pPr>
      <w:numPr>
        <w:numId w:val="18"/>
      </w:numPr>
      <w:shd w:val="clear" w:color="auto" w:fill="E5E8E8"/>
    </w:pPr>
    <w:rPr>
      <w:color w:val="auto"/>
    </w:rPr>
  </w:style>
  <w:style w:type="paragraph" w:customStyle="1" w:styleId="Bullet1SubtextSingle0">
    <w:name w:val="~Bullet #1 Subtext Single"/>
    <w:basedOn w:val="Bullet1SubtextDouble"/>
    <w:qFormat/>
    <w:rsid w:val="00D64F2D"/>
    <w:pPr>
      <w:spacing w:after="0"/>
    </w:pPr>
  </w:style>
  <w:style w:type="paragraph" w:customStyle="1" w:styleId="Bullet2Double0">
    <w:name w:val="~Bullet #2 Double"/>
    <w:basedOn w:val="Bullet2Double"/>
    <w:rsid w:val="00D64F2D"/>
    <w:pPr>
      <w:numPr>
        <w:numId w:val="19"/>
      </w:numPr>
      <w:shd w:val="clear" w:color="auto" w:fill="E5E8E8"/>
      <w:tabs>
        <w:tab w:val="clear" w:pos="720"/>
        <w:tab w:val="left" w:pos="360"/>
      </w:tabs>
    </w:pPr>
    <w:rPr>
      <w:color w:val="auto"/>
    </w:rPr>
  </w:style>
  <w:style w:type="paragraph" w:customStyle="1" w:styleId="Bullet2Single">
    <w:name w:val="~Bullet #2 Single"/>
    <w:basedOn w:val="Bullet2Double0"/>
    <w:rsid w:val="00D64F2D"/>
    <w:pPr>
      <w:numPr>
        <w:numId w:val="20"/>
      </w:numPr>
      <w:tabs>
        <w:tab w:val="left" w:pos="360"/>
      </w:tabs>
      <w:spacing w:after="0"/>
    </w:pPr>
  </w:style>
  <w:style w:type="paragraph" w:customStyle="1" w:styleId="Bullet2SubtextDouble">
    <w:name w:val="~Bullet #2 Subtext Double"/>
    <w:basedOn w:val="Bullet2SubtextDouble0"/>
    <w:rsid w:val="00D64F2D"/>
    <w:pPr>
      <w:numPr>
        <w:numId w:val="21"/>
      </w:numPr>
      <w:shd w:val="clear" w:color="auto" w:fill="E5E8E8"/>
      <w:tabs>
        <w:tab w:val="left" w:pos="720"/>
      </w:tabs>
    </w:pPr>
    <w:rPr>
      <w:color w:val="auto"/>
    </w:rPr>
  </w:style>
  <w:style w:type="paragraph" w:customStyle="1" w:styleId="Bullet2SubtextSingle">
    <w:name w:val="~Bullet #2 Subtext Single"/>
    <w:basedOn w:val="Bullet2SubtextSingle0"/>
    <w:rsid w:val="00D64F2D"/>
    <w:pPr>
      <w:numPr>
        <w:numId w:val="22"/>
      </w:numPr>
      <w:shd w:val="clear" w:color="auto" w:fill="E5E8E8"/>
      <w:tabs>
        <w:tab w:val="left" w:pos="720"/>
      </w:tabs>
    </w:pPr>
    <w:rPr>
      <w:color w:val="auto"/>
    </w:rPr>
  </w:style>
  <w:style w:type="paragraph" w:customStyle="1" w:styleId="Bullet3Double0">
    <w:name w:val="~Bullet #3 Double"/>
    <w:basedOn w:val="Bullet3Double"/>
    <w:rsid w:val="00D64F2D"/>
    <w:pPr>
      <w:numPr>
        <w:numId w:val="23"/>
      </w:numPr>
      <w:shd w:val="clear" w:color="auto" w:fill="E5E8E8"/>
      <w:tabs>
        <w:tab w:val="left" w:pos="720"/>
      </w:tabs>
    </w:pPr>
    <w:rPr>
      <w:color w:val="auto"/>
    </w:rPr>
  </w:style>
  <w:style w:type="paragraph" w:customStyle="1" w:styleId="Bullet3Single">
    <w:name w:val="~Bullet #3 Single"/>
    <w:basedOn w:val="Bullet3Single0"/>
    <w:rsid w:val="00D64F2D"/>
    <w:pPr>
      <w:numPr>
        <w:numId w:val="24"/>
      </w:numPr>
      <w:shd w:val="clear" w:color="auto" w:fill="E5E8E8"/>
      <w:tabs>
        <w:tab w:val="left" w:pos="720"/>
      </w:tabs>
    </w:pPr>
    <w:rPr>
      <w:color w:val="auto"/>
    </w:rPr>
  </w:style>
  <w:style w:type="paragraph" w:customStyle="1" w:styleId="Bullet3SubtextDouble">
    <w:name w:val="~Bullet #3 Subtext Double"/>
    <w:basedOn w:val="Bullet3SubtextDouble0"/>
    <w:rsid w:val="00D64F2D"/>
    <w:pPr>
      <w:numPr>
        <w:numId w:val="25"/>
      </w:numPr>
      <w:shd w:val="clear" w:color="auto" w:fill="E5E8E8"/>
    </w:pPr>
    <w:rPr>
      <w:color w:val="auto"/>
    </w:rPr>
  </w:style>
  <w:style w:type="paragraph" w:customStyle="1" w:styleId="Bullet3SubtextSingle">
    <w:name w:val="~Bullet #3 Subtext Single"/>
    <w:basedOn w:val="Bullet3SubtextSingle0"/>
    <w:rsid w:val="00D64F2D"/>
    <w:pPr>
      <w:numPr>
        <w:numId w:val="30"/>
      </w:numPr>
      <w:shd w:val="clear" w:color="auto" w:fill="E5E8E8"/>
    </w:pPr>
    <w:rPr>
      <w:color w:val="auto"/>
    </w:rPr>
  </w:style>
  <w:style w:type="paragraph" w:customStyle="1" w:styleId="Bullet4Double">
    <w:name w:val="~Bullet #4 Double"/>
    <w:basedOn w:val="Normal"/>
    <w:rsid w:val="00D64F2D"/>
    <w:pPr>
      <w:numPr>
        <w:numId w:val="26"/>
      </w:numPr>
      <w:shd w:val="clear" w:color="auto" w:fill="E5E8E8"/>
      <w:tabs>
        <w:tab w:val="left" w:pos="1080"/>
      </w:tabs>
      <w:spacing w:after="120"/>
    </w:pPr>
  </w:style>
  <w:style w:type="paragraph" w:customStyle="1" w:styleId="Bullet4Single">
    <w:name w:val="~Bullet #4 Single"/>
    <w:basedOn w:val="Normal"/>
    <w:rsid w:val="00D64F2D"/>
    <w:pPr>
      <w:numPr>
        <w:numId w:val="27"/>
      </w:numPr>
      <w:shd w:val="clear" w:color="auto" w:fill="E5E8E8"/>
      <w:tabs>
        <w:tab w:val="left" w:pos="1080"/>
      </w:tabs>
    </w:pPr>
  </w:style>
  <w:style w:type="paragraph" w:customStyle="1" w:styleId="Bullet5Double">
    <w:name w:val="~Bullet #5 Double"/>
    <w:basedOn w:val="Bullet5Double0"/>
    <w:rsid w:val="00D64F2D"/>
    <w:pPr>
      <w:numPr>
        <w:numId w:val="28"/>
      </w:numPr>
      <w:shd w:val="clear" w:color="auto" w:fill="E5E8E8"/>
      <w:tabs>
        <w:tab w:val="left" w:pos="1440"/>
      </w:tabs>
    </w:pPr>
    <w:rPr>
      <w:color w:val="auto"/>
    </w:rPr>
  </w:style>
  <w:style w:type="paragraph" w:customStyle="1" w:styleId="Bullet5Single">
    <w:name w:val="~Bullet #5 Single"/>
    <w:basedOn w:val="Bullet5Single0"/>
    <w:rsid w:val="00D64F2D"/>
    <w:pPr>
      <w:numPr>
        <w:numId w:val="29"/>
      </w:numPr>
      <w:shd w:val="clear" w:color="auto" w:fill="E5E8E8"/>
      <w:tabs>
        <w:tab w:val="left" w:pos="1440"/>
      </w:tabs>
    </w:pPr>
    <w:rPr>
      <w:color w:val="auto"/>
    </w:rPr>
  </w:style>
  <w:style w:type="paragraph" w:customStyle="1" w:styleId="BulletSubnumber">
    <w:name w:val="~Bullet Subnumber"/>
    <w:basedOn w:val="BulletSubnumber0"/>
    <w:rsid w:val="00D64F2D"/>
    <w:pPr>
      <w:numPr>
        <w:numId w:val="31"/>
      </w:numPr>
      <w:shd w:val="clear" w:color="auto" w:fill="E5E8E8"/>
      <w:tabs>
        <w:tab w:val="clear" w:pos="720"/>
        <w:tab w:val="left" w:pos="360"/>
      </w:tabs>
    </w:pPr>
  </w:style>
  <w:style w:type="paragraph" w:customStyle="1" w:styleId="TableSubheading9">
    <w:name w:val="*Table Subheading 9"/>
    <w:basedOn w:val="TableSubheading10"/>
    <w:qFormat/>
    <w:rsid w:val="00B9207D"/>
    <w:rPr>
      <w:sz w:val="18"/>
    </w:rPr>
  </w:style>
  <w:style w:type="paragraph" w:customStyle="1" w:styleId="TableSubheading10">
    <w:name w:val="*Table Subheading 10"/>
    <w:basedOn w:val="TableText10Single"/>
    <w:rsid w:val="007978B5"/>
    <w:pPr>
      <w:keepNext/>
      <w:shd w:val="clear" w:color="auto" w:fill="B1B5B7"/>
    </w:pPr>
    <w:rPr>
      <w:b/>
      <w:color w:val="FFFFFF"/>
    </w:rPr>
  </w:style>
  <w:style w:type="paragraph" w:customStyle="1" w:styleId="Heading11">
    <w:name w:val="~Heading 1"/>
    <w:basedOn w:val="Heading10"/>
    <w:next w:val="BodyText0"/>
  </w:style>
  <w:style w:type="paragraph" w:customStyle="1" w:styleId="Heading21">
    <w:name w:val="~Heading 2"/>
    <w:basedOn w:val="Heading20"/>
    <w:next w:val="BodyText0"/>
  </w:style>
  <w:style w:type="paragraph" w:customStyle="1" w:styleId="Heading31">
    <w:name w:val="~Heading 3"/>
    <w:basedOn w:val="Heading30"/>
    <w:next w:val="BodyText0"/>
  </w:style>
  <w:style w:type="paragraph" w:customStyle="1" w:styleId="Heading41">
    <w:name w:val="~Heading 4"/>
    <w:basedOn w:val="Heading40"/>
    <w:next w:val="BodyText0"/>
  </w:style>
  <w:style w:type="paragraph" w:customStyle="1" w:styleId="Heading51">
    <w:name w:val="~Heading 5"/>
    <w:basedOn w:val="Heading50"/>
    <w:next w:val="BodyText0"/>
  </w:style>
  <w:style w:type="paragraph" w:customStyle="1" w:styleId="Heading61">
    <w:name w:val="~Heading 6"/>
    <w:basedOn w:val="Heading60"/>
    <w:next w:val="BodyText0"/>
  </w:style>
  <w:style w:type="paragraph" w:customStyle="1" w:styleId="HeadingManual10">
    <w:name w:val="~Heading Manual#1"/>
    <w:basedOn w:val="HeadingManual1"/>
    <w:next w:val="BodyText0"/>
    <w:pPr>
      <w:tabs>
        <w:tab w:val="left" w:pos="907"/>
      </w:tabs>
    </w:pPr>
  </w:style>
  <w:style w:type="paragraph" w:customStyle="1" w:styleId="HeadingManual20">
    <w:name w:val="~Heading Manual#2"/>
    <w:basedOn w:val="HeadingManual2"/>
    <w:next w:val="BodyText0"/>
  </w:style>
  <w:style w:type="paragraph" w:customStyle="1" w:styleId="HeadingManual30">
    <w:name w:val="~Heading Manual#3"/>
    <w:basedOn w:val="HeadingManual3"/>
    <w:next w:val="BodyText0"/>
  </w:style>
  <w:style w:type="paragraph" w:customStyle="1" w:styleId="HeadingManual40">
    <w:name w:val="~Heading Manual#4"/>
    <w:basedOn w:val="HeadingManual4"/>
    <w:next w:val="BodyText0"/>
  </w:style>
  <w:style w:type="paragraph" w:customStyle="1" w:styleId="HeadingManual50">
    <w:name w:val="~Heading Manual#5"/>
    <w:basedOn w:val="HeadingManual5"/>
    <w:next w:val="BodyText0"/>
  </w:style>
  <w:style w:type="paragraph" w:customStyle="1" w:styleId="HeadingManual60">
    <w:name w:val="~Heading Manual#6"/>
    <w:basedOn w:val="HeadingManual6"/>
    <w:next w:val="BodyText0"/>
  </w:style>
  <w:style w:type="paragraph" w:customStyle="1" w:styleId="InfoText0">
    <w:name w:val="~Info Text"/>
    <w:basedOn w:val="InfoText"/>
    <w:rsid w:val="00E178F1"/>
    <w:pPr>
      <w:shd w:val="clear" w:color="auto" w:fill="DBDCDD"/>
    </w:pPr>
    <w:rPr>
      <w:color w:val="auto"/>
    </w:rPr>
  </w:style>
  <w:style w:type="paragraph" w:customStyle="1" w:styleId="Numbers1Single0">
    <w:name w:val="~Numbers #1 Single"/>
    <w:basedOn w:val="Bullet1Single0"/>
    <w:rsid w:val="00CF7D7B"/>
  </w:style>
  <w:style w:type="paragraph" w:customStyle="1" w:styleId="NumbersAuto">
    <w:name w:val="~Numbers (Auto)"/>
    <w:basedOn w:val="NumbersAutoSingle"/>
    <w:rsid w:val="00E178F1"/>
    <w:pPr>
      <w:numPr>
        <w:numId w:val="0"/>
      </w:numPr>
      <w:shd w:val="clear" w:color="auto" w:fill="DBDCDD"/>
      <w:tabs>
        <w:tab w:val="left" w:pos="360"/>
      </w:tabs>
      <w:ind w:left="360" w:hanging="360"/>
    </w:pPr>
  </w:style>
  <w:style w:type="paragraph" w:customStyle="1" w:styleId="NumbersAutoBold0">
    <w:name w:val="~Numbers (Auto) Bold"/>
    <w:basedOn w:val="NumbersAutoBold"/>
    <w:rsid w:val="00E178F1"/>
    <w:pPr>
      <w:numPr>
        <w:numId w:val="0"/>
      </w:numPr>
      <w:shd w:val="clear" w:color="auto" w:fill="DBDCDD"/>
      <w:tabs>
        <w:tab w:val="left" w:pos="360"/>
      </w:tabs>
      <w:ind w:left="360" w:hanging="360"/>
    </w:pPr>
    <w:rPr>
      <w:color w:val="auto"/>
    </w:rPr>
  </w:style>
  <w:style w:type="paragraph" w:customStyle="1" w:styleId="NumbersAutoDouble0">
    <w:name w:val="~Numbers (Auto) Double"/>
    <w:basedOn w:val="NumbersAutoDouble"/>
    <w:rsid w:val="00E178F1"/>
    <w:pPr>
      <w:numPr>
        <w:numId w:val="0"/>
      </w:numPr>
      <w:shd w:val="clear" w:color="auto" w:fill="DBDCDD"/>
      <w:tabs>
        <w:tab w:val="left" w:pos="360"/>
      </w:tabs>
      <w:ind w:left="360" w:hanging="360"/>
    </w:pPr>
    <w:rPr>
      <w:color w:val="auto"/>
    </w:rPr>
  </w:style>
  <w:style w:type="paragraph" w:customStyle="1" w:styleId="NumbersBold0">
    <w:name w:val="~Numbers Bold"/>
    <w:basedOn w:val="NumbersBold"/>
    <w:rsid w:val="00E178F1"/>
    <w:pPr>
      <w:shd w:val="clear" w:color="auto" w:fill="DBDCDD"/>
    </w:pPr>
  </w:style>
  <w:style w:type="paragraph" w:customStyle="1" w:styleId="NumbersDouble">
    <w:name w:val="~Numbers Double"/>
    <w:basedOn w:val="Numbers1Double0"/>
    <w:rsid w:val="00E178F1"/>
  </w:style>
  <w:style w:type="paragraph" w:customStyle="1" w:styleId="Numbers1Double0">
    <w:name w:val="~Numbers #1 Double"/>
    <w:basedOn w:val="Bullet1Double0"/>
    <w:qFormat/>
    <w:rsid w:val="00CF7D7B"/>
  </w:style>
  <w:style w:type="paragraph" w:customStyle="1" w:styleId="Subheading0">
    <w:name w:val="~Subheading"/>
    <w:basedOn w:val="Subheading"/>
    <w:next w:val="BodyText0"/>
    <w:rsid w:val="00E178F1"/>
    <w:pPr>
      <w:shd w:val="clear" w:color="auto" w:fill="DBDCDD"/>
    </w:pPr>
  </w:style>
  <w:style w:type="paragraph" w:customStyle="1" w:styleId="TableofContents0">
    <w:name w:val="~Table of Contents"/>
    <w:basedOn w:val="TableofContents"/>
    <w:next w:val="BodyText0"/>
    <w:rsid w:val="00E178F1"/>
    <w:pPr>
      <w:shd w:val="clear" w:color="auto" w:fill="DBDCDD"/>
    </w:pPr>
  </w:style>
  <w:style w:type="paragraph" w:customStyle="1" w:styleId="TableText10Bold0">
    <w:name w:val="~Table Text 10 Bold"/>
    <w:basedOn w:val="TableText10Bold"/>
    <w:rsid w:val="00E63E93"/>
    <w:pPr>
      <w:shd w:val="clear" w:color="auto" w:fill="DBDCDD"/>
    </w:pPr>
    <w:rPr>
      <w:color w:val="auto"/>
    </w:rPr>
  </w:style>
  <w:style w:type="paragraph" w:customStyle="1" w:styleId="TableText10Bullet1Double0">
    <w:name w:val="~Table Text 10 Bullet #1 Double"/>
    <w:basedOn w:val="TableText10Bullet1Double"/>
    <w:qFormat/>
    <w:rsid w:val="00D64F2D"/>
    <w:pPr>
      <w:shd w:val="clear" w:color="auto" w:fill="E5E8E8"/>
    </w:pPr>
  </w:style>
  <w:style w:type="paragraph" w:customStyle="1" w:styleId="Bullet1SingleSideIdea">
    <w:name w:val="*Bullet #1 Single SideIdea"/>
    <w:basedOn w:val="Normal"/>
    <w:rsid w:val="00D64F2D"/>
    <w:pPr>
      <w:ind w:left="288" w:hanging="288"/>
    </w:pPr>
    <w:rPr>
      <w:color w:val="FFFFFF"/>
      <w:sz w:val="20"/>
    </w:rPr>
  </w:style>
  <w:style w:type="paragraph" w:customStyle="1" w:styleId="TableText10Bullet1Single0">
    <w:name w:val="~Table Text 10 Bullet #1 Single"/>
    <w:basedOn w:val="TableText10Bullet1Single"/>
    <w:qFormat/>
    <w:rsid w:val="00D64F2D"/>
    <w:pPr>
      <w:shd w:val="clear" w:color="auto" w:fill="E5E8E8"/>
      <w:ind w:left="216" w:hanging="216"/>
    </w:pPr>
  </w:style>
  <w:style w:type="paragraph" w:customStyle="1" w:styleId="TableText10Bullet2Double0">
    <w:name w:val="~Table Text 10 Bullet #2 Double"/>
    <w:basedOn w:val="TableText10Bullet2Double"/>
    <w:qFormat/>
    <w:rsid w:val="00D64F2D"/>
    <w:pPr>
      <w:shd w:val="clear" w:color="auto" w:fill="E5E8E8"/>
      <w:ind w:left="432" w:hanging="216"/>
    </w:pPr>
  </w:style>
  <w:style w:type="paragraph" w:customStyle="1" w:styleId="TableText10Double0">
    <w:name w:val="~Table Text 10 Double"/>
    <w:basedOn w:val="TableText10Double"/>
    <w:rsid w:val="007F455B"/>
    <w:pPr>
      <w:shd w:val="clear" w:color="auto" w:fill="DBDCDD"/>
    </w:pPr>
    <w:rPr>
      <w:color w:val="auto"/>
    </w:rPr>
  </w:style>
  <w:style w:type="paragraph" w:customStyle="1" w:styleId="TableText10Single0">
    <w:name w:val="~Table Text 10 Single"/>
    <w:basedOn w:val="TableText10Single"/>
    <w:rsid w:val="007F455B"/>
    <w:pPr>
      <w:shd w:val="clear" w:color="auto" w:fill="DBDCDD"/>
    </w:pPr>
    <w:rPr>
      <w:color w:val="auto"/>
    </w:rPr>
  </w:style>
  <w:style w:type="paragraph" w:customStyle="1" w:styleId="TableText11Bold0">
    <w:name w:val="~Table Text 11 Bold"/>
    <w:basedOn w:val="TableText11Bold"/>
    <w:rsid w:val="007F455B"/>
    <w:pPr>
      <w:shd w:val="clear" w:color="auto" w:fill="DBDCDD"/>
    </w:pPr>
    <w:rPr>
      <w:color w:val="auto"/>
    </w:rPr>
  </w:style>
  <w:style w:type="paragraph" w:customStyle="1" w:styleId="TableText10Bullet3Single">
    <w:name w:val="~Table Text 10 Bullet #3 Single"/>
    <w:basedOn w:val="TableText10Bullet3Single0"/>
    <w:qFormat/>
    <w:rsid w:val="00D64F2D"/>
    <w:pPr>
      <w:shd w:val="clear" w:color="auto" w:fill="E5E8E8"/>
    </w:pPr>
  </w:style>
  <w:style w:type="paragraph" w:customStyle="1" w:styleId="TableText10Bullet3Single0">
    <w:name w:val="*Table Text 10 Bullet #3 Single"/>
    <w:basedOn w:val="TableText10Bullet1Single"/>
    <w:qFormat/>
    <w:rsid w:val="00D64F2D"/>
    <w:pPr>
      <w:tabs>
        <w:tab w:val="clear" w:pos="216"/>
      </w:tabs>
      <w:ind w:left="648" w:hanging="216"/>
    </w:pPr>
  </w:style>
  <w:style w:type="paragraph" w:customStyle="1" w:styleId="TableText10Bullet3Double">
    <w:name w:val="~Table Text 10 Bullet #3 Double"/>
    <w:basedOn w:val="TableText10Bullet3Double0"/>
    <w:qFormat/>
    <w:rsid w:val="00D64F2D"/>
    <w:pPr>
      <w:shd w:val="clear" w:color="auto" w:fill="E5E8E8"/>
    </w:pPr>
  </w:style>
  <w:style w:type="paragraph" w:customStyle="1" w:styleId="TableText10Bullet3Double0">
    <w:name w:val="*Table Text 10 Bullet #3 Double"/>
    <w:basedOn w:val="TableText10Bullet3Single0"/>
    <w:qFormat/>
    <w:rsid w:val="00D64F2D"/>
    <w:pPr>
      <w:spacing w:after="60"/>
    </w:pPr>
  </w:style>
  <w:style w:type="paragraph" w:customStyle="1" w:styleId="TableText10Bullet2Single0">
    <w:name w:val="~Table Text 10 Bullet #2 Single"/>
    <w:basedOn w:val="TableText10Bullet2Single"/>
    <w:qFormat/>
    <w:rsid w:val="00D64F2D"/>
    <w:pPr>
      <w:shd w:val="clear" w:color="auto" w:fill="E5E8E8"/>
      <w:ind w:left="432" w:hanging="216"/>
    </w:pPr>
  </w:style>
  <w:style w:type="paragraph" w:customStyle="1" w:styleId="TableText8Bullet1Single0">
    <w:name w:val="~Table Text 8 Bullet #1 Single"/>
    <w:basedOn w:val="TableText8Bullet1Single"/>
    <w:qFormat/>
    <w:rsid w:val="00D64F2D"/>
    <w:pPr>
      <w:shd w:val="clear" w:color="auto" w:fill="E5E8E8"/>
    </w:pPr>
  </w:style>
  <w:style w:type="paragraph" w:customStyle="1" w:styleId="TableText11Double0">
    <w:name w:val="~Table Text 11 Double"/>
    <w:basedOn w:val="TableText11Double"/>
    <w:rsid w:val="005841A6"/>
    <w:pPr>
      <w:shd w:val="clear" w:color="auto" w:fill="DBDCDD"/>
    </w:pPr>
    <w:rPr>
      <w:color w:val="auto"/>
    </w:rPr>
  </w:style>
  <w:style w:type="paragraph" w:customStyle="1" w:styleId="TableText11Single0">
    <w:name w:val="~Table Text 11 Single"/>
    <w:basedOn w:val="TableText11Single"/>
    <w:rsid w:val="005841A6"/>
    <w:pPr>
      <w:shd w:val="clear" w:color="auto" w:fill="DBDCDD"/>
    </w:pPr>
    <w:rPr>
      <w:color w:val="auto"/>
    </w:rPr>
  </w:style>
  <w:style w:type="paragraph" w:customStyle="1" w:styleId="TableText8Bold0">
    <w:name w:val="~Table Text 8 Bold"/>
    <w:basedOn w:val="TableText8Bold"/>
    <w:rsid w:val="005841A6"/>
    <w:pPr>
      <w:shd w:val="clear" w:color="auto" w:fill="DBDCDD"/>
    </w:pPr>
    <w:rPr>
      <w:color w:val="auto"/>
    </w:rPr>
  </w:style>
  <w:style w:type="paragraph" w:customStyle="1" w:styleId="TableText8Bullet1Double0">
    <w:name w:val="~Table Text 8 Bullet #1 Double"/>
    <w:basedOn w:val="TableText8Bullet1Single"/>
    <w:qFormat/>
    <w:rsid w:val="00D64F2D"/>
    <w:pPr>
      <w:shd w:val="clear" w:color="auto" w:fill="E5E8E8"/>
    </w:pPr>
  </w:style>
  <w:style w:type="paragraph" w:customStyle="1" w:styleId="TableText8Bullet2Single0">
    <w:name w:val="~Table Text 8 Bullet #2 Single"/>
    <w:basedOn w:val="TableText8Bullet2Single"/>
    <w:qFormat/>
    <w:rsid w:val="00D64F2D"/>
    <w:pPr>
      <w:shd w:val="clear" w:color="auto" w:fill="E5E8E8"/>
    </w:pPr>
  </w:style>
  <w:style w:type="paragraph" w:customStyle="1" w:styleId="TableText11Bullet2Single0">
    <w:name w:val="~Table Text 11 Bullet #2 Single"/>
    <w:basedOn w:val="TableText11Bullet2Single"/>
    <w:qFormat/>
    <w:rsid w:val="00D64F2D"/>
    <w:pPr>
      <w:shd w:val="clear" w:color="auto" w:fill="E5E8E8"/>
    </w:pPr>
  </w:style>
  <w:style w:type="paragraph" w:customStyle="1" w:styleId="TableText11Bullet3Double">
    <w:name w:val="~Table Text 11 Bullet #3 Double"/>
    <w:basedOn w:val="TableText11Bullet3Double0"/>
    <w:qFormat/>
    <w:rsid w:val="00D64F2D"/>
    <w:pPr>
      <w:shd w:val="clear" w:color="auto" w:fill="E5E8E8"/>
    </w:pPr>
  </w:style>
  <w:style w:type="paragraph" w:customStyle="1" w:styleId="TableText11Bullet3Double0">
    <w:name w:val="*Table Text 11 Bullet #3 Double"/>
    <w:basedOn w:val="TableText10Bullet3Double0"/>
    <w:qFormat/>
    <w:rsid w:val="00D64F2D"/>
    <w:rPr>
      <w:sz w:val="22"/>
    </w:rPr>
  </w:style>
  <w:style w:type="paragraph" w:customStyle="1" w:styleId="TableText8Double0">
    <w:name w:val="~Table Text 8 Double"/>
    <w:basedOn w:val="TableText8Double"/>
    <w:rsid w:val="00643551"/>
    <w:pPr>
      <w:shd w:val="clear" w:color="auto" w:fill="DBDCDD"/>
    </w:pPr>
    <w:rPr>
      <w:color w:val="auto"/>
    </w:rPr>
  </w:style>
  <w:style w:type="paragraph" w:customStyle="1" w:styleId="TableText8Single0">
    <w:name w:val="~Table Text 8 Single"/>
    <w:basedOn w:val="TableText8Single"/>
    <w:rsid w:val="00643551"/>
    <w:pPr>
      <w:shd w:val="clear" w:color="auto" w:fill="DBDCDD"/>
    </w:pPr>
    <w:rPr>
      <w:color w:val="auto"/>
    </w:rPr>
  </w:style>
  <w:style w:type="paragraph" w:customStyle="1" w:styleId="TableFigureCaption0">
    <w:name w:val="~Table/Figure Caption"/>
    <w:basedOn w:val="TableFigureCaption"/>
    <w:rsid w:val="00643551"/>
    <w:pPr>
      <w:shd w:val="clear" w:color="auto" w:fill="DBDCDD"/>
    </w:pPr>
  </w:style>
  <w:style w:type="paragraph" w:styleId="TableofFigures">
    <w:name w:val="table of figures"/>
    <w:basedOn w:val="Normal"/>
    <w:next w:val="Normal"/>
    <w:semiHidden/>
    <w:pPr>
      <w:tabs>
        <w:tab w:val="right" w:leader="dot" w:pos="8856"/>
      </w:tabs>
      <w:ind w:left="1440" w:hanging="1440"/>
    </w:pPr>
  </w:style>
  <w:style w:type="paragraph" w:styleId="Index2">
    <w:name w:val="index 2"/>
    <w:basedOn w:val="Normal"/>
    <w:next w:val="Normal"/>
    <w:autoRedefine/>
    <w:semiHidden/>
    <w:pPr>
      <w:ind w:left="440" w:hanging="220"/>
    </w:pPr>
  </w:style>
  <w:style w:type="paragraph" w:styleId="Index3">
    <w:name w:val="index 3"/>
    <w:basedOn w:val="Normal"/>
    <w:next w:val="Normal"/>
    <w:autoRedefine/>
    <w:semiHidden/>
    <w:pPr>
      <w:ind w:left="660" w:hanging="220"/>
    </w:pPr>
  </w:style>
  <w:style w:type="paragraph" w:styleId="Index4">
    <w:name w:val="index 4"/>
    <w:basedOn w:val="Normal"/>
    <w:next w:val="Normal"/>
    <w:autoRedefine/>
    <w:semiHidden/>
    <w:pPr>
      <w:ind w:left="880" w:hanging="220"/>
    </w:pPr>
  </w:style>
  <w:style w:type="paragraph" w:styleId="Index5">
    <w:name w:val="index 5"/>
    <w:basedOn w:val="Normal"/>
    <w:next w:val="Normal"/>
    <w:autoRedefine/>
    <w:semiHidden/>
    <w:pPr>
      <w:numPr>
        <w:numId w:val="10"/>
      </w:numPr>
    </w:pPr>
  </w:style>
  <w:style w:type="paragraph" w:styleId="Index6">
    <w:name w:val="index 6"/>
    <w:basedOn w:val="Normal"/>
    <w:next w:val="Normal"/>
    <w:autoRedefine/>
    <w:semiHidden/>
    <w:pPr>
      <w:ind w:left="1320" w:hanging="220"/>
    </w:pPr>
  </w:style>
  <w:style w:type="paragraph" w:styleId="Index7">
    <w:name w:val="index 7"/>
    <w:basedOn w:val="Normal"/>
    <w:next w:val="Normal"/>
    <w:autoRedefine/>
    <w:semiHidden/>
    <w:pPr>
      <w:ind w:left="1540" w:hanging="220"/>
    </w:pPr>
  </w:style>
  <w:style w:type="paragraph" w:styleId="Index8">
    <w:name w:val="index 8"/>
    <w:basedOn w:val="Normal"/>
    <w:next w:val="Normal"/>
    <w:autoRedefine/>
    <w:semiHidden/>
    <w:pPr>
      <w:ind w:left="1760" w:hanging="220"/>
    </w:pPr>
  </w:style>
  <w:style w:type="paragraph" w:styleId="Index9">
    <w:name w:val="index 9"/>
    <w:basedOn w:val="Normal"/>
    <w:next w:val="Normal"/>
    <w:autoRedefine/>
    <w:semiHidden/>
    <w:pPr>
      <w:ind w:left="1980" w:hanging="220"/>
    </w:pPr>
  </w:style>
  <w:style w:type="paragraph" w:customStyle="1" w:styleId="CoverText3">
    <w:name w:val="*Cover Text 3"/>
    <w:basedOn w:val="CoverText2"/>
    <w:rsid w:val="00C81C23"/>
    <w:rPr>
      <w:rFonts w:cs="Arial"/>
      <w:color w:val="000000"/>
      <w:sz w:val="32"/>
      <w:szCs w:val="32"/>
    </w:rPr>
  </w:style>
  <w:style w:type="paragraph" w:customStyle="1" w:styleId="Figure">
    <w:name w:val="*Figure"/>
    <w:basedOn w:val="BodyText"/>
    <w:next w:val="BodyText"/>
    <w:pPr>
      <w:jc w:val="center"/>
    </w:pPr>
  </w:style>
  <w:style w:type="paragraph" w:customStyle="1" w:styleId="Copyright">
    <w:name w:val="*Copyright"/>
    <w:basedOn w:val="ConfidentialityNotice"/>
    <w:next w:val="BodyText"/>
    <w:rsid w:val="00370AF1"/>
    <w:pPr>
      <w:spacing w:before="600"/>
    </w:pPr>
  </w:style>
  <w:style w:type="paragraph" w:customStyle="1" w:styleId="Note">
    <w:name w:val="*Note"/>
    <w:basedOn w:val="BodyText"/>
    <w:next w:val="BodyText"/>
    <w:pPr>
      <w:ind w:left="720" w:hanging="720"/>
    </w:pPr>
  </w:style>
  <w:style w:type="paragraph" w:customStyle="1" w:styleId="Reference">
    <w:name w:val="*Reference"/>
    <w:basedOn w:val="BodyText"/>
    <w:next w:val="BodyText"/>
    <w:pPr>
      <w:ind w:left="1440" w:hanging="1440"/>
    </w:pPr>
  </w:style>
  <w:style w:type="paragraph" w:customStyle="1" w:styleId="Website">
    <w:name w:val="*Website"/>
    <w:basedOn w:val="BodyText"/>
    <w:next w:val="BodyText"/>
    <w:rsid w:val="00C0144A"/>
    <w:pPr>
      <w:ind w:left="1080" w:hanging="1080"/>
    </w:pPr>
  </w:style>
  <w:style w:type="character" w:styleId="FootnoteReference">
    <w:name w:val="footnote reference"/>
    <w:semiHidden/>
    <w:rPr>
      <w:vertAlign w:val="superscript"/>
    </w:rPr>
  </w:style>
  <w:style w:type="paragraph" w:styleId="FootnoteText">
    <w:name w:val="footnote text"/>
    <w:basedOn w:val="Normal"/>
    <w:semiHidden/>
    <w:rPr>
      <w:sz w:val="20"/>
    </w:rPr>
  </w:style>
  <w:style w:type="paragraph" w:customStyle="1" w:styleId="FootnoteText0">
    <w:name w:val="*Footnote Text"/>
    <w:basedOn w:val="BodyText"/>
    <w:qFormat/>
    <w:rsid w:val="00BB37D9"/>
    <w:pPr>
      <w:spacing w:after="0"/>
      <w:ind w:left="144" w:hanging="144"/>
    </w:pPr>
    <w:rPr>
      <w:sz w:val="18"/>
    </w:rPr>
  </w:style>
  <w:style w:type="character" w:customStyle="1" w:styleId="FootnoteReference0">
    <w:name w:val="*Footnote Reference"/>
    <w:rPr>
      <w:rFonts w:ascii="Arial" w:hAnsi="Arial"/>
      <w:vertAlign w:val="superscript"/>
    </w:rPr>
  </w:style>
  <w:style w:type="paragraph" w:customStyle="1" w:styleId="TableHeading10">
    <w:name w:val="*Table Heading 10"/>
    <w:basedOn w:val="TableText10Bold"/>
    <w:rsid w:val="00681802"/>
    <w:pPr>
      <w:keepNext/>
      <w:shd w:val="clear" w:color="auto" w:fill="00B388"/>
      <w:spacing w:line="240" w:lineRule="atLeast"/>
      <w:jc w:val="center"/>
    </w:pPr>
    <w:rPr>
      <w:color w:val="FFFFFF"/>
    </w:rPr>
  </w:style>
  <w:style w:type="paragraph" w:customStyle="1" w:styleId="TableHeading100">
    <w:name w:val="~Table Heading 10"/>
    <w:basedOn w:val="TableText10Bold0"/>
    <w:rsid w:val="004269EB"/>
    <w:pPr>
      <w:keepNext/>
      <w:jc w:val="center"/>
    </w:pPr>
  </w:style>
  <w:style w:type="paragraph" w:customStyle="1" w:styleId="TableHeading11">
    <w:name w:val="*Table Heading 11"/>
    <w:basedOn w:val="TableHeading10"/>
    <w:rPr>
      <w:sz w:val="22"/>
    </w:rPr>
  </w:style>
  <w:style w:type="paragraph" w:customStyle="1" w:styleId="TableSubheading11">
    <w:name w:val="*Table Subheading 11"/>
    <w:basedOn w:val="TableSubheading10"/>
    <w:rsid w:val="00B76F85"/>
    <w:rPr>
      <w:sz w:val="22"/>
    </w:rPr>
  </w:style>
  <w:style w:type="paragraph" w:customStyle="1" w:styleId="TableSubheading8">
    <w:name w:val="*Table Subheading 8"/>
    <w:basedOn w:val="TableSubheading10"/>
    <w:rsid w:val="00B76F85"/>
    <w:rPr>
      <w:sz w:val="16"/>
    </w:rPr>
  </w:style>
  <w:style w:type="paragraph" w:customStyle="1" w:styleId="TableHeading8">
    <w:name w:val="*Table Heading 8"/>
    <w:basedOn w:val="TableHeading10"/>
    <w:rsid w:val="005011FD"/>
    <w:rPr>
      <w:sz w:val="16"/>
    </w:rPr>
  </w:style>
  <w:style w:type="paragraph" w:customStyle="1" w:styleId="TableHeading110">
    <w:name w:val="~Table Heading 11"/>
    <w:basedOn w:val="TableHeading100"/>
    <w:rPr>
      <w:sz w:val="22"/>
    </w:rPr>
  </w:style>
  <w:style w:type="paragraph" w:customStyle="1" w:styleId="TableHeading80">
    <w:name w:val="~Table Heading 8"/>
    <w:basedOn w:val="TableHeading100"/>
    <w:rsid w:val="004269EB"/>
    <w:rPr>
      <w:sz w:val="16"/>
    </w:rPr>
  </w:style>
  <w:style w:type="paragraph" w:styleId="Caption">
    <w:name w:val="caption"/>
    <w:basedOn w:val="BodyText"/>
    <w:next w:val="BodyText"/>
    <w:qFormat/>
    <w:rPr>
      <w:b/>
      <w:bCs/>
      <w:sz w:val="20"/>
    </w:rPr>
  </w:style>
  <w:style w:type="character" w:styleId="CommentReference">
    <w:name w:val="annotation reference"/>
    <w:semiHidden/>
    <w:rPr>
      <w:sz w:val="16"/>
      <w:szCs w:val="16"/>
    </w:rPr>
  </w:style>
  <w:style w:type="paragraph" w:styleId="CommentText">
    <w:name w:val="annotation text"/>
    <w:basedOn w:val="Normal"/>
    <w:link w:val="CommentTextChar"/>
    <w:uiPriority w:val="99"/>
    <w:rPr>
      <w:sz w:val="20"/>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sz w:val="20"/>
    </w:rPr>
  </w:style>
  <w:style w:type="character" w:styleId="EndnoteReference">
    <w:name w:val="endnote reference"/>
    <w:semiHidden/>
    <w:rPr>
      <w:vertAlign w:val="superscript"/>
    </w:rPr>
  </w:style>
  <w:style w:type="paragraph" w:styleId="EndnoteText">
    <w:name w:val="endnote text"/>
    <w:basedOn w:val="Normal"/>
    <w:semiHidden/>
    <w:rPr>
      <w:sz w:val="20"/>
    </w:rPr>
  </w:style>
  <w:style w:type="paragraph" w:styleId="IndexHeading">
    <w:name w:val="index heading"/>
    <w:basedOn w:val="Normal"/>
    <w:next w:val="Index1"/>
    <w:semiHidden/>
    <w:rPr>
      <w:rFonts w:cs="Arial"/>
      <w:b/>
      <w:bCs/>
    </w:rPr>
  </w:style>
  <w:style w:type="paragraph" w:customStyle="1" w:styleId="ActionCaption">
    <w:name w:val="*Action Caption"/>
    <w:basedOn w:val="BodyText"/>
    <w:next w:val="BodyText"/>
    <w:pPr>
      <w:keepNext/>
    </w:pPr>
    <w:rPr>
      <w:i/>
      <w:sz w:val="20"/>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color w:val="000000"/>
      <w:lang w:val="en-US" w:eastAsia="en-US"/>
    </w:rPr>
  </w:style>
  <w:style w:type="paragraph" w:styleId="TableofAuthorities">
    <w:name w:val="table of authorities"/>
    <w:basedOn w:val="Normal"/>
    <w:next w:val="Normal"/>
    <w:semiHidden/>
    <w:pPr>
      <w:ind w:left="220" w:hanging="220"/>
    </w:pPr>
  </w:style>
  <w:style w:type="paragraph" w:styleId="TOAHeading">
    <w:name w:val="toa heading"/>
    <w:basedOn w:val="Normal"/>
    <w:next w:val="Normal"/>
    <w:semiHidden/>
    <w:pPr>
      <w:spacing w:before="120"/>
    </w:pPr>
    <w:rPr>
      <w:rFonts w:cs="Arial"/>
      <w:b/>
      <w:bCs/>
      <w:sz w:val="24"/>
      <w:szCs w:val="24"/>
    </w:rPr>
  </w:style>
  <w:style w:type="paragraph" w:customStyle="1" w:styleId="HPEntityDetail">
    <w:name w:val="HP Entity Detail"/>
    <w:rsid w:val="009B45A0"/>
    <w:pPr>
      <w:framePr w:hSpace="144" w:wrap="around" w:vAnchor="page" w:hAnchor="margin" w:y="865"/>
      <w:ind w:left="2736"/>
    </w:pPr>
    <w:rPr>
      <w:rFonts w:ascii="Arial" w:hAnsi="Arial"/>
      <w:color w:val="000000"/>
      <w:sz w:val="18"/>
      <w:szCs w:val="18"/>
      <w:lang w:val="en-US" w:eastAsia="en-US"/>
    </w:rPr>
  </w:style>
  <w:style w:type="paragraph" w:customStyle="1" w:styleId="HPRecipientData">
    <w:name w:val="HP Recipient Data"/>
    <w:rsid w:val="009B45A0"/>
    <w:pPr>
      <w:spacing w:after="20"/>
      <w:ind w:left="2736"/>
    </w:pPr>
    <w:rPr>
      <w:rFonts w:ascii="Arial" w:eastAsia="Times" w:hAnsi="Arial" w:cs="Arial"/>
      <w:sz w:val="18"/>
      <w:szCs w:val="18"/>
      <w:lang w:val="en-US" w:eastAsia="en-US"/>
    </w:rPr>
  </w:style>
  <w:style w:type="paragraph" w:customStyle="1" w:styleId="HPSenderData">
    <w:name w:val="HP Sender Data"/>
    <w:basedOn w:val="HPSender"/>
    <w:rsid w:val="00DA2057"/>
    <w:rPr>
      <w:szCs w:val="18"/>
    </w:rPr>
  </w:style>
  <w:style w:type="paragraph" w:customStyle="1" w:styleId="HPSender">
    <w:name w:val="HP Sender"/>
    <w:next w:val="HPSenderData"/>
    <w:link w:val="HPSenderChar"/>
    <w:rsid w:val="00FD3A57"/>
    <w:rPr>
      <w:rFonts w:ascii="Arial" w:eastAsia="Times" w:hAnsi="Arial" w:cs="Arial"/>
      <w:sz w:val="18"/>
      <w:szCs w:val="16"/>
      <w:lang w:val="en-US" w:eastAsia="en-US"/>
    </w:rPr>
  </w:style>
  <w:style w:type="character" w:customStyle="1" w:styleId="HPSenderChar">
    <w:name w:val="HP Sender Char"/>
    <w:link w:val="HPSender"/>
    <w:rsid w:val="00FD3A57"/>
    <w:rPr>
      <w:rFonts w:ascii="Arial" w:eastAsia="Times" w:hAnsi="Arial" w:cs="Arial"/>
      <w:sz w:val="18"/>
      <w:szCs w:val="16"/>
    </w:rPr>
  </w:style>
  <w:style w:type="paragraph" w:customStyle="1" w:styleId="HPBasicText">
    <w:name w:val="HP_BasicText"/>
    <w:rsid w:val="00FD3A57"/>
    <w:pPr>
      <w:spacing w:after="120"/>
      <w:ind w:left="2736"/>
    </w:pPr>
    <w:rPr>
      <w:rFonts w:ascii="Arial" w:hAnsi="Arial"/>
      <w:szCs w:val="18"/>
      <w:lang w:val="en-US" w:eastAsia="en-US"/>
    </w:rPr>
  </w:style>
  <w:style w:type="paragraph" w:customStyle="1" w:styleId="HPBullet">
    <w:name w:val="HP_Bullet"/>
    <w:basedOn w:val="HPBasicText"/>
    <w:rsid w:val="00D16668"/>
    <w:pPr>
      <w:numPr>
        <w:numId w:val="8"/>
      </w:numPr>
      <w:spacing w:after="0"/>
    </w:pPr>
  </w:style>
  <w:style w:type="paragraph" w:customStyle="1" w:styleId="HPLogo">
    <w:name w:val="HP Logo"/>
    <w:basedOn w:val="Normal"/>
    <w:pPr>
      <w:framePr w:hSpace="141" w:wrap="around" w:vAnchor="page" w:hAnchor="margin" w:xAlign="right" w:y="1555"/>
      <w:jc w:val="right"/>
    </w:pPr>
    <w:rPr>
      <w:sz w:val="16"/>
      <w:szCs w:val="18"/>
    </w:rPr>
  </w:style>
  <w:style w:type="paragraph" w:customStyle="1" w:styleId="HPPropDate">
    <w:name w:val="HP Prop Date"/>
    <w:basedOn w:val="HPRecipientData"/>
    <w:rsid w:val="009B45A0"/>
  </w:style>
  <w:style w:type="paragraph" w:customStyle="1" w:styleId="BodyTextSideIdea">
    <w:name w:val="*Body Text SideIdea"/>
    <w:basedOn w:val="BodyText"/>
    <w:qFormat/>
    <w:rsid w:val="00F5623E"/>
    <w:rPr>
      <w:i/>
      <w:color w:val="auto"/>
      <w:sz w:val="20"/>
    </w:rPr>
  </w:style>
  <w:style w:type="paragraph" w:customStyle="1" w:styleId="HPFullPage">
    <w:name w:val="HP Full Page"/>
    <w:rsid w:val="00E8050A"/>
    <w:rPr>
      <w:rFonts w:ascii="Arial" w:eastAsia="Times New Roman" w:hAnsi="Arial"/>
      <w:sz w:val="16"/>
      <w:szCs w:val="18"/>
      <w:lang w:val="en-US" w:eastAsia="en-US"/>
    </w:rPr>
  </w:style>
  <w:style w:type="paragraph" w:customStyle="1" w:styleId="CvrLtrBullet1Single">
    <w:name w:val="*Cvr Ltr Bullet #1 Single"/>
    <w:basedOn w:val="Bullet1Single"/>
    <w:qFormat/>
    <w:rsid w:val="001D44BC"/>
    <w:rPr>
      <w:sz w:val="20"/>
    </w:rPr>
  </w:style>
  <w:style w:type="paragraph" w:customStyle="1" w:styleId="CvrLtrBullet1Double">
    <w:name w:val="*Cvr Ltr Bullet #1 Double"/>
    <w:basedOn w:val="CvrLtrBullet1Single"/>
    <w:qFormat/>
    <w:rsid w:val="001D44BC"/>
    <w:pPr>
      <w:spacing w:after="120"/>
    </w:pPr>
  </w:style>
  <w:style w:type="paragraph" w:customStyle="1" w:styleId="NumbersSingle">
    <w:name w:val="*Numbers Single"/>
    <w:basedOn w:val="Numbers1Single"/>
    <w:qFormat/>
    <w:rsid w:val="001C7029"/>
  </w:style>
  <w:style w:type="paragraph" w:customStyle="1" w:styleId="NumbersDouble0">
    <w:name w:val="*Numbers Double"/>
    <w:basedOn w:val="Numbers1Double"/>
    <w:qFormat/>
    <w:rsid w:val="001C7029"/>
  </w:style>
  <w:style w:type="paragraph" w:customStyle="1" w:styleId="TableText9Single">
    <w:name w:val="*Table Text 9 Single"/>
    <w:basedOn w:val="TableText10Single"/>
    <w:qFormat/>
    <w:rsid w:val="001F7F58"/>
    <w:rPr>
      <w:sz w:val="18"/>
    </w:rPr>
  </w:style>
  <w:style w:type="paragraph" w:customStyle="1" w:styleId="TableText10BoldDouble">
    <w:name w:val="*Table Text 10 Bold Double"/>
    <w:basedOn w:val="TableText10Double"/>
    <w:qFormat/>
    <w:rsid w:val="00675ABA"/>
    <w:rPr>
      <w:b/>
    </w:rPr>
  </w:style>
  <w:style w:type="paragraph" w:customStyle="1" w:styleId="TableText11BoldDouble">
    <w:name w:val="*Table Text 11 Bold Double"/>
    <w:basedOn w:val="TableText11Double"/>
    <w:qFormat/>
    <w:rsid w:val="00675ABA"/>
    <w:rPr>
      <w:b/>
    </w:rPr>
  </w:style>
  <w:style w:type="paragraph" w:customStyle="1" w:styleId="TableText9Double">
    <w:name w:val="*Table Text 9 Double"/>
    <w:basedOn w:val="TableText10Double"/>
    <w:qFormat/>
    <w:rsid w:val="001F7F58"/>
    <w:rPr>
      <w:sz w:val="18"/>
    </w:rPr>
  </w:style>
  <w:style w:type="paragraph" w:customStyle="1" w:styleId="TableText9Bold">
    <w:name w:val="*Table Text 9 Bold"/>
    <w:basedOn w:val="TableText10Bold"/>
    <w:qFormat/>
    <w:rsid w:val="001F7F58"/>
    <w:rPr>
      <w:sz w:val="18"/>
    </w:rPr>
  </w:style>
  <w:style w:type="paragraph" w:customStyle="1" w:styleId="TableText9BoldDouble">
    <w:name w:val="*Table Text 9 Bold Double"/>
    <w:basedOn w:val="TableText10BoldDouble"/>
    <w:qFormat/>
    <w:rsid w:val="001F7F58"/>
    <w:rPr>
      <w:sz w:val="18"/>
    </w:rPr>
  </w:style>
  <w:style w:type="paragraph" w:customStyle="1" w:styleId="TableText11Bullet1Double">
    <w:name w:val="*Table Text 11 Bullet #1 Double"/>
    <w:basedOn w:val="TableText10Bullet1Double"/>
    <w:qFormat/>
    <w:rsid w:val="00D64F2D"/>
    <w:rPr>
      <w:sz w:val="22"/>
    </w:rPr>
  </w:style>
  <w:style w:type="paragraph" w:customStyle="1" w:styleId="TableText8Bullet2Double0">
    <w:name w:val="~Table Text 8 Bullet #2 Double"/>
    <w:basedOn w:val="TableText8Bullet2Double"/>
    <w:qFormat/>
    <w:rsid w:val="00D64F2D"/>
    <w:pPr>
      <w:shd w:val="clear" w:color="auto" w:fill="E5E8E8"/>
    </w:pPr>
  </w:style>
  <w:style w:type="paragraph" w:customStyle="1" w:styleId="TableText11Bullet2Double">
    <w:name w:val="*Table Text 11 Bullet #2 Double"/>
    <w:basedOn w:val="TableText10Bullet2Double"/>
    <w:qFormat/>
    <w:rsid w:val="00D64F2D"/>
    <w:pPr>
      <w:ind w:left="432" w:hanging="216"/>
    </w:pPr>
    <w:rPr>
      <w:sz w:val="22"/>
    </w:rPr>
  </w:style>
  <w:style w:type="paragraph" w:customStyle="1" w:styleId="TableText9Bullet1Single0">
    <w:name w:val="~Table Text 9 Bullet #1 Single"/>
    <w:basedOn w:val="TableText9Bullet1Single"/>
    <w:qFormat/>
    <w:rsid w:val="00D64F2D"/>
    <w:pPr>
      <w:shd w:val="clear" w:color="auto" w:fill="E5E8E8"/>
    </w:pPr>
  </w:style>
  <w:style w:type="paragraph" w:customStyle="1" w:styleId="TableText9Bullet2Double">
    <w:name w:val="*Table Text 9 Bullet #2 Double"/>
    <w:basedOn w:val="TableText10Bullet2Double"/>
    <w:qFormat/>
    <w:rsid w:val="00D64F2D"/>
    <w:pPr>
      <w:ind w:left="432" w:hanging="216"/>
    </w:pPr>
    <w:rPr>
      <w:sz w:val="18"/>
    </w:rPr>
  </w:style>
  <w:style w:type="paragraph" w:customStyle="1" w:styleId="Bullet4SubtextDouble">
    <w:name w:val="*Bullet #4 Subtext Double"/>
    <w:basedOn w:val="BodyText"/>
    <w:qFormat/>
    <w:rsid w:val="00D64F2D"/>
    <w:pPr>
      <w:ind w:left="1440"/>
    </w:pPr>
  </w:style>
  <w:style w:type="paragraph" w:customStyle="1" w:styleId="Bullet4SubtextSingle">
    <w:name w:val="*Bullet #4 Subtext Single"/>
    <w:basedOn w:val="Bullet4SubtextDouble"/>
    <w:qFormat/>
    <w:rsid w:val="00D64F2D"/>
    <w:pPr>
      <w:spacing w:after="0"/>
    </w:pPr>
  </w:style>
  <w:style w:type="paragraph" w:customStyle="1" w:styleId="Bullet5SubtextDouble">
    <w:name w:val="*Bullet #5 Subtext Double"/>
    <w:basedOn w:val="BodyText"/>
    <w:qFormat/>
    <w:rsid w:val="00D64F2D"/>
    <w:pPr>
      <w:ind w:left="1800"/>
    </w:pPr>
  </w:style>
  <w:style w:type="paragraph" w:customStyle="1" w:styleId="Bullet5SubtextSingle">
    <w:name w:val="*Bullet #5 Subtext Single"/>
    <w:basedOn w:val="Bullet5SubtextDouble"/>
    <w:qFormat/>
    <w:rsid w:val="00D64F2D"/>
    <w:pPr>
      <w:spacing w:after="0"/>
    </w:pPr>
  </w:style>
  <w:style w:type="paragraph" w:customStyle="1" w:styleId="TableText8Bullet3Double">
    <w:name w:val="*Table Text 8 Bullet #3 Double"/>
    <w:basedOn w:val="TableText10Bullet3Double0"/>
    <w:qFormat/>
    <w:rsid w:val="00D64F2D"/>
    <w:rPr>
      <w:sz w:val="16"/>
    </w:rPr>
  </w:style>
  <w:style w:type="paragraph" w:customStyle="1" w:styleId="TableText11Bullet3Single">
    <w:name w:val="*Table Text 11 Bullet #3 Single"/>
    <w:basedOn w:val="TableText10Bullet3Single0"/>
    <w:qFormat/>
    <w:rsid w:val="00D64F2D"/>
    <w:rPr>
      <w:sz w:val="22"/>
    </w:rPr>
  </w:style>
  <w:style w:type="paragraph" w:customStyle="1" w:styleId="NumbersBoldDouble">
    <w:name w:val="*Numbers Bold Double"/>
    <w:basedOn w:val="Numbers1Double"/>
    <w:qFormat/>
    <w:rsid w:val="00497D59"/>
    <w:rPr>
      <w:b/>
    </w:rPr>
  </w:style>
  <w:style w:type="paragraph" w:customStyle="1" w:styleId="NumbersAutoBoldDouble">
    <w:name w:val="*Numbers (Auto) Bold Double"/>
    <w:basedOn w:val="NumbersAutoDouble"/>
    <w:qFormat/>
    <w:rsid w:val="00497D59"/>
    <w:rPr>
      <w:b/>
    </w:rPr>
  </w:style>
  <w:style w:type="paragraph" w:customStyle="1" w:styleId="Figure0">
    <w:name w:val="~Figure"/>
    <w:basedOn w:val="BodyText0"/>
    <w:qFormat/>
    <w:rsid w:val="00D5377F"/>
    <w:pPr>
      <w:jc w:val="center"/>
    </w:pPr>
  </w:style>
  <w:style w:type="paragraph" w:customStyle="1" w:styleId="TableText8Bullet3Single">
    <w:name w:val="*Table Text 8 Bullet #3 Single"/>
    <w:basedOn w:val="TableText10Bullet3Single0"/>
    <w:qFormat/>
    <w:rsid w:val="00D64F2D"/>
    <w:rPr>
      <w:sz w:val="16"/>
    </w:rPr>
  </w:style>
  <w:style w:type="paragraph" w:customStyle="1" w:styleId="TableText9Bullet1Double">
    <w:name w:val="*Table Text 9 Bullet #1 Double"/>
    <w:basedOn w:val="TableText10Bullet1Double"/>
    <w:qFormat/>
    <w:rsid w:val="00D64F2D"/>
    <w:rPr>
      <w:sz w:val="18"/>
    </w:rPr>
  </w:style>
  <w:style w:type="paragraph" w:customStyle="1" w:styleId="TableText9Bullet3Double">
    <w:name w:val="*Table Text 9 Bullet #3 Double"/>
    <w:basedOn w:val="TableText10Bullet3Double0"/>
    <w:qFormat/>
    <w:rsid w:val="00D64F2D"/>
    <w:rPr>
      <w:sz w:val="18"/>
    </w:rPr>
  </w:style>
  <w:style w:type="paragraph" w:customStyle="1" w:styleId="TableText9Bullet3Single">
    <w:name w:val="*Table Text 9 Bullet #3 Single"/>
    <w:basedOn w:val="TableText10Bullet3Single0"/>
    <w:qFormat/>
    <w:rsid w:val="00D64F2D"/>
    <w:rPr>
      <w:sz w:val="18"/>
    </w:rPr>
  </w:style>
  <w:style w:type="paragraph" w:customStyle="1" w:styleId="TableHeading9">
    <w:name w:val="*Table Heading 9"/>
    <w:basedOn w:val="TableHeading10"/>
    <w:qFormat/>
    <w:rsid w:val="009C03DC"/>
    <w:rPr>
      <w:sz w:val="18"/>
    </w:rPr>
  </w:style>
  <w:style w:type="paragraph" w:customStyle="1" w:styleId="Subheading2">
    <w:name w:val="*Subheading 2"/>
    <w:basedOn w:val="Subheading"/>
    <w:next w:val="BodyText"/>
    <w:qFormat/>
    <w:rsid w:val="00DF029A"/>
    <w:rPr>
      <w:i/>
    </w:rPr>
  </w:style>
  <w:style w:type="paragraph" w:customStyle="1" w:styleId="AttachmentList">
    <w:name w:val="*Attachment List"/>
    <w:basedOn w:val="BodyText"/>
    <w:qFormat/>
    <w:rsid w:val="002C1E8A"/>
    <w:pPr>
      <w:outlineLvl w:val="1"/>
    </w:pPr>
  </w:style>
  <w:style w:type="paragraph" w:customStyle="1" w:styleId="ListofFiguresTables">
    <w:name w:val="*List of Figures/Tables"/>
    <w:basedOn w:val="TableofContents"/>
    <w:next w:val="BodyText"/>
    <w:qFormat/>
    <w:rsid w:val="005C4175"/>
    <w:pPr>
      <w:pageBreakBefore w:val="0"/>
    </w:pPr>
  </w:style>
  <w:style w:type="paragraph" w:customStyle="1" w:styleId="NumbersAuto0">
    <w:name w:val="*Numbers (Auto)"/>
    <w:basedOn w:val="NumbersAutoSingle"/>
    <w:qFormat/>
    <w:rsid w:val="00A51E18"/>
  </w:style>
  <w:style w:type="paragraph" w:customStyle="1" w:styleId="Numbers">
    <w:name w:val="*Numbers"/>
    <w:basedOn w:val="Numbers1Single"/>
    <w:qFormat/>
    <w:rsid w:val="00A51E18"/>
  </w:style>
  <w:style w:type="paragraph" w:customStyle="1" w:styleId="Numbers2Single">
    <w:name w:val="*Numbers #2 Single"/>
    <w:basedOn w:val="Numbers1Single"/>
    <w:qFormat/>
    <w:rsid w:val="00FE6614"/>
    <w:pPr>
      <w:ind w:left="727" w:hanging="547"/>
    </w:pPr>
  </w:style>
  <w:style w:type="paragraph" w:customStyle="1" w:styleId="Numbers2Double">
    <w:name w:val="*Numbers #2 Double"/>
    <w:basedOn w:val="Numbers2Single"/>
    <w:qFormat/>
    <w:rsid w:val="00FE6614"/>
    <w:pPr>
      <w:spacing w:after="120"/>
    </w:pPr>
  </w:style>
  <w:style w:type="paragraph" w:customStyle="1" w:styleId="Numbers3Single">
    <w:name w:val="*Numbers #3 Single"/>
    <w:basedOn w:val="Numbers1Single"/>
    <w:qFormat/>
    <w:rsid w:val="001C7029"/>
    <w:pPr>
      <w:ind w:left="1080" w:hanging="720"/>
    </w:pPr>
  </w:style>
  <w:style w:type="paragraph" w:customStyle="1" w:styleId="Numbers3Double">
    <w:name w:val="*Numbers #3 Double"/>
    <w:basedOn w:val="Numbers3Single"/>
    <w:qFormat/>
    <w:rsid w:val="001C7029"/>
    <w:pPr>
      <w:spacing w:after="120"/>
    </w:pPr>
  </w:style>
  <w:style w:type="paragraph" w:customStyle="1" w:styleId="Numbers4Single">
    <w:name w:val="*Numbers #4 Single"/>
    <w:basedOn w:val="Numbers1Single"/>
    <w:qFormat/>
    <w:rsid w:val="00EB7079"/>
    <w:pPr>
      <w:ind w:left="1440" w:hanging="900"/>
    </w:pPr>
  </w:style>
  <w:style w:type="paragraph" w:customStyle="1" w:styleId="Numbers4Double">
    <w:name w:val="*Numbers #4 Double"/>
    <w:basedOn w:val="Numbers4Single"/>
    <w:qFormat/>
    <w:rsid w:val="00EB7079"/>
    <w:pPr>
      <w:spacing w:after="120"/>
      <w:ind w:left="1454" w:hanging="907"/>
    </w:pPr>
  </w:style>
  <w:style w:type="paragraph" w:customStyle="1" w:styleId="Numbers5Single">
    <w:name w:val="*Numbers #5 Single"/>
    <w:basedOn w:val="Numbers1Single"/>
    <w:qFormat/>
    <w:rsid w:val="00EB7079"/>
    <w:pPr>
      <w:ind w:left="1800" w:hanging="1080"/>
    </w:pPr>
  </w:style>
  <w:style w:type="paragraph" w:customStyle="1" w:styleId="Numbers5Double">
    <w:name w:val="*Numbers #5 Double"/>
    <w:basedOn w:val="Numbers5Single"/>
    <w:qFormat/>
    <w:rsid w:val="00EB7079"/>
    <w:pPr>
      <w:spacing w:after="120"/>
    </w:pPr>
  </w:style>
  <w:style w:type="paragraph" w:customStyle="1" w:styleId="Numbers0">
    <w:name w:val="~Numbers"/>
    <w:basedOn w:val="Numbers1Single0"/>
    <w:qFormat/>
    <w:rsid w:val="0095017A"/>
  </w:style>
  <w:style w:type="paragraph" w:customStyle="1" w:styleId="Numbers2Single0">
    <w:name w:val="~Numbers #2 Single"/>
    <w:basedOn w:val="Bullet2Single"/>
    <w:qFormat/>
    <w:rsid w:val="00CF7D7B"/>
    <w:pPr>
      <w:tabs>
        <w:tab w:val="clear" w:pos="360"/>
        <w:tab w:val="left" w:pos="180"/>
      </w:tabs>
    </w:pPr>
  </w:style>
  <w:style w:type="paragraph" w:customStyle="1" w:styleId="Numbers2Double0">
    <w:name w:val="~Numbers #2 Double"/>
    <w:basedOn w:val="Bullet2Double0"/>
    <w:qFormat/>
    <w:rsid w:val="00CF7D7B"/>
    <w:pPr>
      <w:tabs>
        <w:tab w:val="clear" w:pos="360"/>
        <w:tab w:val="left" w:pos="180"/>
      </w:tabs>
    </w:pPr>
  </w:style>
  <w:style w:type="paragraph" w:customStyle="1" w:styleId="Numbers3Single0">
    <w:name w:val="~Numbers #3 Single"/>
    <w:basedOn w:val="Bullet3Single"/>
    <w:qFormat/>
    <w:rsid w:val="00CF7D7B"/>
    <w:pPr>
      <w:tabs>
        <w:tab w:val="clear" w:pos="720"/>
        <w:tab w:val="left" w:pos="360"/>
      </w:tabs>
    </w:pPr>
  </w:style>
  <w:style w:type="paragraph" w:customStyle="1" w:styleId="Numbers3Double0">
    <w:name w:val="~Numbers #3 Double"/>
    <w:basedOn w:val="Bullet3Double0"/>
    <w:qFormat/>
    <w:rsid w:val="00CF7D7B"/>
    <w:pPr>
      <w:tabs>
        <w:tab w:val="clear" w:pos="720"/>
        <w:tab w:val="left" w:pos="360"/>
      </w:tabs>
    </w:pPr>
  </w:style>
  <w:style w:type="paragraph" w:customStyle="1" w:styleId="Numbers4Single0">
    <w:name w:val="~Numbers #4 Single"/>
    <w:basedOn w:val="Bullet4Single"/>
    <w:qFormat/>
    <w:rsid w:val="00CF7D7B"/>
    <w:pPr>
      <w:tabs>
        <w:tab w:val="clear" w:pos="1080"/>
        <w:tab w:val="left" w:pos="540"/>
      </w:tabs>
    </w:pPr>
  </w:style>
  <w:style w:type="paragraph" w:customStyle="1" w:styleId="Numbers4Double0">
    <w:name w:val="~Numbers #4 Double"/>
    <w:basedOn w:val="Bullet4Double"/>
    <w:qFormat/>
    <w:rsid w:val="00CF7D7B"/>
    <w:pPr>
      <w:tabs>
        <w:tab w:val="clear" w:pos="1080"/>
        <w:tab w:val="left" w:pos="540"/>
      </w:tabs>
    </w:pPr>
  </w:style>
  <w:style w:type="paragraph" w:customStyle="1" w:styleId="Numbers5Single0">
    <w:name w:val="~Numbers #5 Single"/>
    <w:basedOn w:val="Bullet5Single"/>
    <w:qFormat/>
    <w:rsid w:val="00CF7D7B"/>
    <w:pPr>
      <w:tabs>
        <w:tab w:val="clear" w:pos="1440"/>
        <w:tab w:val="left" w:pos="720"/>
      </w:tabs>
    </w:pPr>
  </w:style>
  <w:style w:type="paragraph" w:customStyle="1" w:styleId="Numbers5Double0">
    <w:name w:val="~Numbers #5 Double"/>
    <w:basedOn w:val="Bullet5Double"/>
    <w:qFormat/>
    <w:rsid w:val="00CF7D7B"/>
    <w:pPr>
      <w:tabs>
        <w:tab w:val="clear" w:pos="1440"/>
        <w:tab w:val="left" w:pos="720"/>
      </w:tabs>
    </w:pPr>
  </w:style>
  <w:style w:type="paragraph" w:customStyle="1" w:styleId="HPBulletDouble">
    <w:name w:val="HP_Bullet Double"/>
    <w:basedOn w:val="HPBullet"/>
    <w:qFormat/>
    <w:rsid w:val="00D16668"/>
    <w:pPr>
      <w:spacing w:after="120"/>
    </w:pPr>
  </w:style>
  <w:style w:type="paragraph" w:customStyle="1" w:styleId="CvrLtrDetail">
    <w:name w:val="*Cvr Ltr Detail"/>
    <w:basedOn w:val="BodyText"/>
    <w:qFormat/>
    <w:rsid w:val="000757AF"/>
    <w:pPr>
      <w:spacing w:after="20"/>
    </w:pPr>
    <w:rPr>
      <w:sz w:val="18"/>
    </w:rPr>
  </w:style>
  <w:style w:type="paragraph" w:customStyle="1" w:styleId="CvrLtrBodyText">
    <w:name w:val="*Cvr Ltr Body Text"/>
    <w:basedOn w:val="BodyText"/>
    <w:qFormat/>
    <w:rsid w:val="000757AF"/>
    <w:rPr>
      <w:sz w:val="20"/>
    </w:rPr>
  </w:style>
  <w:style w:type="paragraph" w:customStyle="1" w:styleId="CvrLtrBullet2Single">
    <w:name w:val="*Cvr Ltr Bullet #2 Single"/>
    <w:basedOn w:val="Bullet2Single0"/>
    <w:qFormat/>
    <w:rsid w:val="001D44BC"/>
    <w:rPr>
      <w:sz w:val="20"/>
    </w:rPr>
  </w:style>
  <w:style w:type="paragraph" w:customStyle="1" w:styleId="CvrLtrBullet2Double">
    <w:name w:val="*Cvr Ltr Bullet #2 Double"/>
    <w:basedOn w:val="CvrLtrBullet2Single"/>
    <w:qFormat/>
    <w:rsid w:val="001D44BC"/>
    <w:pPr>
      <w:spacing w:after="120"/>
    </w:pPr>
  </w:style>
  <w:style w:type="paragraph" w:customStyle="1" w:styleId="TableText9Bullet2Single0">
    <w:name w:val="~Table Text 9 Bullet #2 Single"/>
    <w:basedOn w:val="TableText9Bullet2Single"/>
    <w:qFormat/>
    <w:rsid w:val="00D64F2D"/>
    <w:pPr>
      <w:shd w:val="clear" w:color="auto" w:fill="E5E8E8"/>
    </w:pPr>
  </w:style>
  <w:style w:type="paragraph" w:customStyle="1" w:styleId="TableText11Bullet1Single0">
    <w:name w:val="~Table Text 11 Bullet #1 Single"/>
    <w:basedOn w:val="TableText11Bullet1Single"/>
    <w:qFormat/>
    <w:rsid w:val="00D64F2D"/>
    <w:pPr>
      <w:shd w:val="clear" w:color="auto" w:fill="E5E8E8"/>
    </w:pPr>
  </w:style>
  <w:style w:type="paragraph" w:customStyle="1" w:styleId="TableText11Bullet1Double0">
    <w:name w:val="~Table Text 11 Bullet #1 Double"/>
    <w:basedOn w:val="TableText11Bullet1Double"/>
    <w:qFormat/>
    <w:rsid w:val="00D64F2D"/>
    <w:pPr>
      <w:shd w:val="clear" w:color="auto" w:fill="E5E8E8"/>
    </w:pPr>
  </w:style>
  <w:style w:type="paragraph" w:customStyle="1" w:styleId="TableText10BoldSingle">
    <w:name w:val="*Table Text 10 Bold Single"/>
    <w:basedOn w:val="TableText10Single"/>
    <w:qFormat/>
    <w:rsid w:val="0010026D"/>
    <w:rPr>
      <w:b/>
    </w:rPr>
  </w:style>
  <w:style w:type="paragraph" w:customStyle="1" w:styleId="TableText11BoldSingle">
    <w:name w:val="*Table Text 11 Bold Single"/>
    <w:basedOn w:val="TableText11Single"/>
    <w:qFormat/>
    <w:rsid w:val="0010026D"/>
    <w:rPr>
      <w:b/>
    </w:rPr>
  </w:style>
  <w:style w:type="paragraph" w:customStyle="1" w:styleId="TableText8BoldDouble">
    <w:name w:val="*Table Text 8 Bold Double"/>
    <w:basedOn w:val="TableText8Double"/>
    <w:qFormat/>
    <w:rsid w:val="0010026D"/>
    <w:rPr>
      <w:b/>
    </w:rPr>
  </w:style>
  <w:style w:type="paragraph" w:customStyle="1" w:styleId="TableText8BoldSingle">
    <w:name w:val="*Table Text 8 Bold Single"/>
    <w:basedOn w:val="TableText8Single"/>
    <w:qFormat/>
    <w:rsid w:val="0010026D"/>
    <w:rPr>
      <w:b/>
    </w:rPr>
  </w:style>
  <w:style w:type="paragraph" w:customStyle="1" w:styleId="TableText9BoldSingle">
    <w:name w:val="*Table Text 9 Bold Single"/>
    <w:basedOn w:val="TableText10BoldSingle"/>
    <w:qFormat/>
    <w:rsid w:val="0010026D"/>
    <w:rPr>
      <w:sz w:val="18"/>
    </w:rPr>
  </w:style>
  <w:style w:type="paragraph" w:customStyle="1" w:styleId="TableText9Bold0">
    <w:name w:val="~Table Text 9 Bold"/>
    <w:basedOn w:val="TableText9Bold"/>
    <w:qFormat/>
    <w:rsid w:val="00643551"/>
    <w:pPr>
      <w:shd w:val="clear" w:color="auto" w:fill="DBDCDD"/>
    </w:pPr>
  </w:style>
  <w:style w:type="paragraph" w:customStyle="1" w:styleId="TableText9BoldSingle0">
    <w:name w:val="~Table Text 9 Bold Single"/>
    <w:basedOn w:val="TableText9BoldSingle"/>
    <w:qFormat/>
    <w:rsid w:val="00643551"/>
    <w:pPr>
      <w:shd w:val="clear" w:color="auto" w:fill="DBDCDD"/>
    </w:pPr>
  </w:style>
  <w:style w:type="paragraph" w:customStyle="1" w:styleId="TableText9BoldDouble0">
    <w:name w:val="~Table Text 9 Bold Double"/>
    <w:basedOn w:val="TableText9BoldDouble"/>
    <w:qFormat/>
    <w:rsid w:val="00643551"/>
    <w:pPr>
      <w:shd w:val="clear" w:color="auto" w:fill="DBDCDD"/>
    </w:pPr>
  </w:style>
  <w:style w:type="paragraph" w:customStyle="1" w:styleId="TableText9Double0">
    <w:name w:val="~Table Text 9 Double"/>
    <w:basedOn w:val="TableText9Double"/>
    <w:qFormat/>
    <w:rsid w:val="00643551"/>
    <w:pPr>
      <w:shd w:val="clear" w:color="auto" w:fill="DBDCDD"/>
    </w:pPr>
  </w:style>
  <w:style w:type="paragraph" w:customStyle="1" w:styleId="TableText9Single0">
    <w:name w:val="~Table Text 9 Single"/>
    <w:basedOn w:val="TableText9Single"/>
    <w:qFormat/>
    <w:rsid w:val="00643551"/>
    <w:pPr>
      <w:shd w:val="clear" w:color="auto" w:fill="DBDCDD"/>
    </w:pPr>
  </w:style>
  <w:style w:type="paragraph" w:customStyle="1" w:styleId="TableHeading90">
    <w:name w:val="~Table Heading 9"/>
    <w:basedOn w:val="TableHeading100"/>
    <w:qFormat/>
    <w:rsid w:val="00704F5D"/>
    <w:rPr>
      <w:sz w:val="18"/>
    </w:rPr>
  </w:style>
  <w:style w:type="paragraph" w:customStyle="1" w:styleId="TableText10BoldSingle0">
    <w:name w:val="~Table Text 10 Bold Single"/>
    <w:basedOn w:val="TableText10BoldSingle"/>
    <w:rsid w:val="00E63E93"/>
    <w:pPr>
      <w:shd w:val="clear" w:color="auto" w:fill="DBDCDD"/>
    </w:pPr>
  </w:style>
  <w:style w:type="paragraph" w:customStyle="1" w:styleId="TableText10BoldDouble0">
    <w:name w:val="~Table Text 10 Bold Double"/>
    <w:basedOn w:val="TableText10BoldDouble"/>
    <w:rsid w:val="007F455B"/>
    <w:pPr>
      <w:shd w:val="clear" w:color="auto" w:fill="DBDCDD"/>
    </w:pPr>
  </w:style>
  <w:style w:type="paragraph" w:customStyle="1" w:styleId="TableText11BoldSingle0">
    <w:name w:val="~Table Text 11 Bold Single"/>
    <w:basedOn w:val="TableText11BoldSingle"/>
    <w:rsid w:val="007F455B"/>
    <w:pPr>
      <w:shd w:val="clear" w:color="auto" w:fill="DBDCDD"/>
    </w:pPr>
  </w:style>
  <w:style w:type="paragraph" w:customStyle="1" w:styleId="TableText11BoldDouble0">
    <w:name w:val="~Table Text 11 Bold Double"/>
    <w:basedOn w:val="TableText11BoldDouble"/>
    <w:rsid w:val="007F455B"/>
    <w:pPr>
      <w:shd w:val="clear" w:color="auto" w:fill="DBDCDD"/>
    </w:pPr>
  </w:style>
  <w:style w:type="paragraph" w:customStyle="1" w:styleId="TableText8BoldSingle0">
    <w:name w:val="~Table Text 8 Bold Single"/>
    <w:basedOn w:val="TableText8BoldSingle"/>
    <w:rsid w:val="005841A6"/>
    <w:pPr>
      <w:shd w:val="clear" w:color="auto" w:fill="DBDCDD"/>
    </w:pPr>
  </w:style>
  <w:style w:type="paragraph" w:customStyle="1" w:styleId="TableText8BoldDouble0">
    <w:name w:val="~Table Text 8 Bold Double"/>
    <w:basedOn w:val="TableText8BoldDouble"/>
    <w:rsid w:val="005841A6"/>
    <w:pPr>
      <w:shd w:val="clear" w:color="auto" w:fill="DBDCDD"/>
    </w:pPr>
  </w:style>
  <w:style w:type="paragraph" w:customStyle="1" w:styleId="TableText8Bullet3Double0">
    <w:name w:val="~Table Text 8 Bullet #3 Double"/>
    <w:basedOn w:val="TableText8Bullet3Double"/>
    <w:qFormat/>
    <w:rsid w:val="00D64F2D"/>
    <w:pPr>
      <w:shd w:val="clear" w:color="auto" w:fill="E5E8E8"/>
    </w:pPr>
  </w:style>
  <w:style w:type="paragraph" w:customStyle="1" w:styleId="TableText8Bullet3Single0">
    <w:name w:val="~Table Text 8 Bullet #3 Single"/>
    <w:basedOn w:val="TableText8Bullet3Single"/>
    <w:qFormat/>
    <w:rsid w:val="00D64F2D"/>
    <w:pPr>
      <w:shd w:val="clear" w:color="auto" w:fill="E5E8E8"/>
    </w:pPr>
  </w:style>
  <w:style w:type="paragraph" w:customStyle="1" w:styleId="TableText9Bullet1Double0">
    <w:name w:val="~Table Text 9 Bullet #1 Double"/>
    <w:basedOn w:val="TableText9Bullet1Double"/>
    <w:qFormat/>
    <w:rsid w:val="00D64F2D"/>
    <w:pPr>
      <w:shd w:val="clear" w:color="auto" w:fill="E5E8E8"/>
    </w:pPr>
  </w:style>
  <w:style w:type="paragraph" w:customStyle="1" w:styleId="TableText11Bullet2Double0">
    <w:name w:val="~Table Text 11 Bullet #2 Double"/>
    <w:basedOn w:val="TableText11Bullet2Double"/>
    <w:qFormat/>
    <w:rsid w:val="00D64F2D"/>
    <w:pPr>
      <w:shd w:val="clear" w:color="auto" w:fill="E5E8E8"/>
    </w:pPr>
  </w:style>
  <w:style w:type="paragraph" w:customStyle="1" w:styleId="TableText9Bullet2Double0">
    <w:name w:val="~Table Text 9 Bullet #2 Double"/>
    <w:basedOn w:val="TableText9Bullet2Double"/>
    <w:qFormat/>
    <w:rsid w:val="00D64F2D"/>
    <w:pPr>
      <w:shd w:val="clear" w:color="auto" w:fill="E5E8E8"/>
    </w:pPr>
  </w:style>
  <w:style w:type="paragraph" w:customStyle="1" w:styleId="TableText11Bullet3Single0">
    <w:name w:val="~Table Text 11 Bullet #3 Single"/>
    <w:basedOn w:val="TableText11Bullet3Single"/>
    <w:qFormat/>
    <w:rsid w:val="00D64F2D"/>
    <w:pPr>
      <w:shd w:val="clear" w:color="auto" w:fill="E5E8E8"/>
    </w:pPr>
  </w:style>
  <w:style w:type="paragraph" w:customStyle="1" w:styleId="TableText9Bullet3Double0">
    <w:name w:val="~Table Text 9 Bullet #3 Double"/>
    <w:basedOn w:val="TableText9Bullet3Double"/>
    <w:qFormat/>
    <w:rsid w:val="00D64F2D"/>
    <w:pPr>
      <w:shd w:val="clear" w:color="auto" w:fill="E5E8E8"/>
    </w:pPr>
  </w:style>
  <w:style w:type="paragraph" w:customStyle="1" w:styleId="TableText9Bullet3Single0">
    <w:name w:val="~Table Text 9 Bullet #3 Single"/>
    <w:basedOn w:val="TableText9Bullet3Single"/>
    <w:qFormat/>
    <w:rsid w:val="00D64F2D"/>
    <w:pPr>
      <w:shd w:val="clear" w:color="auto" w:fill="E5E8E8"/>
    </w:pPr>
  </w:style>
  <w:style w:type="paragraph" w:customStyle="1" w:styleId="Bullet4SubtextSingle0">
    <w:name w:val="~Bullet #4 Subtext Single"/>
    <w:basedOn w:val="Bullet3SubtextSingle"/>
    <w:qFormat/>
    <w:rsid w:val="00D64F2D"/>
    <w:pPr>
      <w:tabs>
        <w:tab w:val="clear" w:pos="1080"/>
        <w:tab w:val="left" w:pos="1440"/>
      </w:tabs>
      <w:ind w:left="1440" w:hanging="1440"/>
    </w:pPr>
  </w:style>
  <w:style w:type="paragraph" w:customStyle="1" w:styleId="Bullet4SubtextDouble0">
    <w:name w:val="~Bullet #4 Subtext Double"/>
    <w:basedOn w:val="Bullet4SubtextSingle0"/>
    <w:qFormat/>
    <w:rsid w:val="00D64F2D"/>
    <w:pPr>
      <w:spacing w:after="120"/>
    </w:pPr>
  </w:style>
  <w:style w:type="paragraph" w:customStyle="1" w:styleId="Bullet5SubtextSingle0">
    <w:name w:val="~Bullet #5 Subtext Single"/>
    <w:basedOn w:val="Bullet4SubtextSingle0"/>
    <w:qFormat/>
    <w:rsid w:val="00D64F2D"/>
    <w:pPr>
      <w:tabs>
        <w:tab w:val="clear" w:pos="1440"/>
        <w:tab w:val="left" w:pos="1800"/>
      </w:tabs>
      <w:ind w:left="1800" w:hanging="1800"/>
    </w:pPr>
  </w:style>
  <w:style w:type="paragraph" w:customStyle="1" w:styleId="Bullet5SubtextDouble0">
    <w:name w:val="~Bullet #5 Subtext Double"/>
    <w:basedOn w:val="Bullet5SubtextSingle0"/>
    <w:qFormat/>
    <w:rsid w:val="00D64F2D"/>
    <w:pPr>
      <w:spacing w:after="120"/>
    </w:pPr>
  </w:style>
  <w:style w:type="character" w:customStyle="1" w:styleId="BodyTextZchn">
    <w:name w:val="*Body Text Zchn"/>
    <w:link w:val="BodyText"/>
    <w:rsid w:val="00D24A4B"/>
    <w:rPr>
      <w:rFonts w:ascii="Arial" w:hAnsi="Arial"/>
      <w:color w:val="000000"/>
      <w:sz w:val="22"/>
      <w:lang w:val="en-US" w:eastAsia="en-US"/>
    </w:rPr>
  </w:style>
  <w:style w:type="character" w:customStyle="1" w:styleId="Heading3Char">
    <w:name w:val="*Heading 3 Char"/>
    <w:basedOn w:val="DefaultParagraphFont"/>
    <w:link w:val="Heading30"/>
    <w:locked/>
    <w:rsid w:val="00D24A4B"/>
    <w:rPr>
      <w:rFonts w:ascii="Arial" w:hAnsi="Arial" w:cs="Arial"/>
      <w:b/>
      <w:sz w:val="32"/>
      <w:szCs w:val="24"/>
      <w:lang w:val="en-US" w:eastAsia="en-US"/>
    </w:rPr>
  </w:style>
  <w:style w:type="character" w:customStyle="1" w:styleId="Bullet1DoubleCharChar">
    <w:name w:val="*Bullet #1 Double Char Char"/>
    <w:basedOn w:val="BodyTextZchn"/>
    <w:link w:val="Bullet1Double"/>
    <w:rsid w:val="00D24A4B"/>
    <w:rPr>
      <w:rFonts w:ascii="Arial" w:hAnsi="Arial"/>
      <w:color w:val="000000"/>
      <w:sz w:val="22"/>
      <w:lang w:val="en-US" w:eastAsia="en-US"/>
    </w:rPr>
  </w:style>
  <w:style w:type="table" w:styleId="GridTable2-Accent6">
    <w:name w:val="Grid Table 2 Accent 6"/>
    <w:basedOn w:val="TableNormal"/>
    <w:uiPriority w:val="47"/>
    <w:rsid w:val="00D24A4B"/>
    <w:rPr>
      <w:rFonts w:asciiTheme="minorHAnsi" w:eastAsiaTheme="minorHAnsi" w:hAnsiTheme="minorHAnsi" w:cstheme="minorBidi"/>
      <w:sz w:val="22"/>
      <w:szCs w:val="22"/>
      <w:lang w:val="en-US" w:eastAsia="en-US"/>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Accent5">
    <w:name w:val="Grid Table 5 Dark Accent 5"/>
    <w:basedOn w:val="TableNormal"/>
    <w:uiPriority w:val="50"/>
    <w:rsid w:val="00D24A4B"/>
    <w:rPr>
      <w:rFonts w:asciiTheme="minorHAnsi" w:eastAsiaTheme="minorHAnsi" w:hAnsiTheme="minorHAnsi" w:cstheme="minorBidi"/>
      <w:sz w:val="22"/>
      <w:szCs w:val="22"/>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TableGrid">
    <w:name w:val="Table Grid"/>
    <w:basedOn w:val="TableNormal"/>
    <w:uiPriority w:val="59"/>
    <w:rsid w:val="00D24A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24A4B"/>
    <w:pPr>
      <w:ind w:left="720"/>
      <w:contextualSpacing/>
    </w:pPr>
  </w:style>
  <w:style w:type="table" w:customStyle="1" w:styleId="TableHPEGreen">
    <w:name w:val="TableHPEGreen"/>
    <w:basedOn w:val="TableNormal"/>
    <w:uiPriority w:val="99"/>
    <w:rsid w:val="00D24A4B"/>
    <w:rPr>
      <w:rFonts w:ascii="Arial" w:eastAsia="Times New Roman" w:hAnsi="Arial"/>
      <w:lang w:val="en-US" w:eastAsia="en-US"/>
    </w:rPr>
    <w:tblPr>
      <w:jc w:val="center"/>
      <w:tblBorders>
        <w:top w:val="single" w:sz="2" w:space="0" w:color="auto"/>
        <w:bottom w:val="single" w:sz="18" w:space="0" w:color="auto"/>
        <w:insideH w:val="single" w:sz="2" w:space="0" w:color="auto"/>
        <w:insideV w:val="single" w:sz="2" w:space="0" w:color="5F7A76"/>
      </w:tblBorders>
      <w:tblCellMar>
        <w:top w:w="130" w:type="dxa"/>
        <w:left w:w="43" w:type="dxa"/>
        <w:bottom w:w="101" w:type="dxa"/>
        <w:right w:w="43" w:type="dxa"/>
      </w:tblCellMar>
    </w:tblPr>
    <w:trPr>
      <w:jc w:val="center"/>
    </w:trPr>
    <w:tcPr>
      <w:shd w:val="clear" w:color="auto" w:fill="auto"/>
    </w:tcPr>
    <w:tblStylePr w:type="firstRow">
      <w:pPr>
        <w:jc w:val="left"/>
      </w:pPr>
      <w:tblPr/>
      <w:trPr>
        <w:tblHeader/>
      </w:trPr>
      <w:tcPr>
        <w:tcBorders>
          <w:top w:val="nil"/>
          <w:left w:val="nil"/>
          <w:bottom w:val="single" w:sz="36" w:space="0" w:color="00B388"/>
          <w:right w:val="nil"/>
          <w:insideH w:val="nil"/>
          <w:insideV w:val="nil"/>
          <w:tl2br w:val="nil"/>
          <w:tr2bl w:val="nil"/>
        </w:tcBorders>
        <w:vAlign w:val="bottom"/>
      </w:tcPr>
    </w:tblStylePr>
  </w:style>
  <w:style w:type="character" w:customStyle="1" w:styleId="BodyTextChar">
    <w:name w:val="*Body Text Char"/>
    <w:basedOn w:val="DefaultParagraphFont"/>
    <w:locked/>
    <w:rsid w:val="00D24A4B"/>
    <w:rPr>
      <w:rFonts w:ascii="Arial" w:hAnsi="Arial"/>
      <w:color w:val="000000"/>
      <w:sz w:val="22"/>
      <w:lang w:val="en-US" w:eastAsia="en-US" w:bidi="ar-SA"/>
    </w:rPr>
  </w:style>
  <w:style w:type="character" w:customStyle="1" w:styleId="Bullet1DoubleChar">
    <w:name w:val="*Bullet #1 Double Char"/>
    <w:basedOn w:val="DefaultParagraphFont"/>
    <w:rsid w:val="00D24A4B"/>
    <w:rPr>
      <w:rFonts w:ascii="Arial" w:hAnsi="Arial"/>
      <w:color w:val="000000"/>
      <w:sz w:val="22"/>
      <w:lang w:val="en-US" w:eastAsia="en-US"/>
    </w:rPr>
  </w:style>
  <w:style w:type="paragraph" w:styleId="BodyText1">
    <w:name w:val="Body Text"/>
    <w:basedOn w:val="Normal"/>
    <w:link w:val="BodyTextChar0"/>
    <w:uiPriority w:val="1"/>
    <w:qFormat/>
    <w:rsid w:val="00D24A4B"/>
    <w:pPr>
      <w:widowControl w:val="0"/>
      <w:autoSpaceDE w:val="0"/>
      <w:autoSpaceDN w:val="0"/>
      <w:spacing w:after="0" w:line="240" w:lineRule="auto"/>
    </w:pPr>
    <w:rPr>
      <w:rFonts w:ascii="Arial" w:eastAsia="Arial" w:hAnsi="Arial" w:cs="Arial"/>
    </w:rPr>
  </w:style>
  <w:style w:type="character" w:customStyle="1" w:styleId="BodyTextChar0">
    <w:name w:val="Body Text Char"/>
    <w:basedOn w:val="DefaultParagraphFont"/>
    <w:link w:val="BodyText1"/>
    <w:uiPriority w:val="1"/>
    <w:rsid w:val="00D24A4B"/>
    <w:rPr>
      <w:rFonts w:ascii="Arial" w:eastAsia="Arial" w:hAnsi="Arial" w:cs="Arial"/>
      <w:sz w:val="22"/>
      <w:szCs w:val="22"/>
      <w:lang w:val="en-US" w:eastAsia="en-US"/>
    </w:rPr>
  </w:style>
  <w:style w:type="paragraph" w:styleId="NormalWeb">
    <w:name w:val="Normal (Web)"/>
    <w:basedOn w:val="Normal"/>
    <w:uiPriority w:val="99"/>
    <w:semiHidden/>
    <w:unhideWhenUsed/>
    <w:rsid w:val="00D24A4B"/>
    <w:rPr>
      <w:rFonts w:ascii="Times New Roman" w:hAnsi="Times New Roman" w:cs="Times New Roman"/>
      <w:sz w:val="24"/>
      <w:szCs w:val="24"/>
    </w:rPr>
  </w:style>
  <w:style w:type="character" w:customStyle="1" w:styleId="CommentTextChar">
    <w:name w:val="Comment Text Char"/>
    <w:basedOn w:val="DefaultParagraphFont"/>
    <w:link w:val="CommentText"/>
    <w:uiPriority w:val="99"/>
    <w:rsid w:val="00D24A4B"/>
    <w:rPr>
      <w:rFonts w:asciiTheme="minorHAnsi" w:eastAsiaTheme="minorHAnsi" w:hAnsiTheme="minorHAnsi" w:cstheme="minorBidi"/>
      <w:szCs w:val="22"/>
      <w:lang w:val="en-US" w:eastAsia="en-US"/>
    </w:rPr>
  </w:style>
  <w:style w:type="character" w:customStyle="1" w:styleId="TableText10SingleChar">
    <w:name w:val="*Table Text 10 Single Char"/>
    <w:link w:val="TableText10Single"/>
    <w:rsid w:val="00D24A4B"/>
    <w:rPr>
      <w:rFonts w:ascii="Arial" w:hAnsi="Arial"/>
      <w:color w:val="000000"/>
      <w:lang w:val="en-US" w:eastAsia="en-US"/>
    </w:rPr>
  </w:style>
  <w:style w:type="character" w:customStyle="1" w:styleId="Bullet1SingleChar">
    <w:name w:val="*Bullet #1 Single Char"/>
    <w:link w:val="Bullet1Single"/>
    <w:rsid w:val="00D24A4B"/>
    <w:rPr>
      <w:rFonts w:ascii="Arial" w:hAnsi="Arial"/>
      <w:color w:val="000000"/>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5049720">
      <w:bodyDiv w:val="1"/>
      <w:marLeft w:val="0"/>
      <w:marRight w:val="0"/>
      <w:marTop w:val="0"/>
      <w:marBottom w:val="0"/>
      <w:divBdr>
        <w:top w:val="none" w:sz="0" w:space="0" w:color="auto"/>
        <w:left w:val="none" w:sz="0" w:space="0" w:color="auto"/>
        <w:bottom w:val="none" w:sz="0" w:space="0" w:color="auto"/>
        <w:right w:val="none" w:sz="0" w:space="0" w:color="auto"/>
      </w:divBdr>
    </w:div>
    <w:div w:id="1533028528">
      <w:bodyDiv w:val="1"/>
      <w:marLeft w:val="0"/>
      <w:marRight w:val="0"/>
      <w:marTop w:val="0"/>
      <w:marBottom w:val="0"/>
      <w:divBdr>
        <w:top w:val="none" w:sz="0" w:space="0" w:color="auto"/>
        <w:left w:val="none" w:sz="0" w:space="0" w:color="auto"/>
        <w:bottom w:val="none" w:sz="0" w:space="0" w:color="auto"/>
        <w:right w:val="none" w:sz="0" w:space="0" w:color="auto"/>
      </w:divBdr>
    </w:div>
    <w:div w:id="1921524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emf"/><Relationship Id="rId39" Type="http://schemas.openxmlformats.org/officeDocument/2006/relationships/image" Target="media/image32.png"/><Relationship Id="rId3" Type="http://schemas.openxmlformats.org/officeDocument/2006/relationships/settings" Target="settings.xml"/><Relationship Id="rId21" Type="http://schemas.openxmlformats.org/officeDocument/2006/relationships/image" Target="media/image15.bin"/><Relationship Id="rId34" Type="http://schemas.openxmlformats.org/officeDocument/2006/relationships/image" Target="media/image27.tmp"/><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footer" Target="footer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tmp"/><Relationship Id="rId25" Type="http://schemas.openxmlformats.org/officeDocument/2006/relationships/image" Target="media/image18.emf"/><Relationship Id="rId33" Type="http://schemas.openxmlformats.org/officeDocument/2006/relationships/image" Target="media/image26.tmp"/><Relationship Id="rId38" Type="http://schemas.openxmlformats.org/officeDocument/2006/relationships/image" Target="media/image31.png"/><Relationship Id="rId46" Type="http://schemas.openxmlformats.org/officeDocument/2006/relationships/image" Target="media/image39.tmp"/><Relationship Id="rId2" Type="http://schemas.openxmlformats.org/officeDocument/2006/relationships/styles" Target="styles.xml"/><Relationship Id="rId16" Type="http://schemas.openxmlformats.org/officeDocument/2006/relationships/image" Target="media/image10.tmp"/><Relationship Id="rId20" Type="http://schemas.openxmlformats.org/officeDocument/2006/relationships/image" Target="media/image14.tmp"/><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tmp"/><Relationship Id="rId32" Type="http://schemas.openxmlformats.org/officeDocument/2006/relationships/image" Target="media/image25.tmp"/><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tmp"/><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28" Type="http://schemas.openxmlformats.org/officeDocument/2006/relationships/image" Target="media/image21.emf"/><Relationship Id="rId36" Type="http://schemas.openxmlformats.org/officeDocument/2006/relationships/image" Target="media/image29.png"/><Relationship Id="rId49" Type="http://schemas.openxmlformats.org/officeDocument/2006/relationships/header" Target="header2.xml"/><Relationship Id="rId10" Type="http://schemas.openxmlformats.org/officeDocument/2006/relationships/image" Target="media/image4.png"/><Relationship Id="rId19" Type="http://schemas.openxmlformats.org/officeDocument/2006/relationships/image" Target="media/image13.tmp"/><Relationship Id="rId31" Type="http://schemas.openxmlformats.org/officeDocument/2006/relationships/image" Target="media/image24.jpeg"/><Relationship Id="rId44" Type="http://schemas.openxmlformats.org/officeDocument/2006/relationships/image" Target="media/image37.tmp"/><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1.xml"/><Relationship Id="rId27" Type="http://schemas.openxmlformats.org/officeDocument/2006/relationships/image" Target="media/image20.tmp"/><Relationship Id="rId30" Type="http://schemas.openxmlformats.org/officeDocument/2006/relationships/image" Target="media/image23.png"/><Relationship Id="rId35" Type="http://schemas.openxmlformats.org/officeDocument/2006/relationships/image" Target="media/image28.tmp"/><Relationship Id="rId43" Type="http://schemas.openxmlformats.org/officeDocument/2006/relationships/image" Target="media/image36.tmp"/><Relationship Id="rId48" Type="http://schemas.openxmlformats.org/officeDocument/2006/relationships/image" Target="media/image41.tmp"/><Relationship Id="rId8" Type="http://schemas.openxmlformats.org/officeDocument/2006/relationships/image" Target="media/image2.png"/><Relationship Id="rId51"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6.emf"/></Relationships>
</file>

<file path=word/_rels/footer2.xml.rels><?xml version="1.0" encoding="UTF-8" standalone="yes"?>
<Relationships xmlns="http://schemas.openxmlformats.org/package/2006/relationships"><Relationship Id="rId1"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eevescy\AppData\Roaming\Microsoft\Templates\HPE_Proposal_NA_2015-1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HPE_Proposal_NA_2015-11.dot</Template>
  <TotalTime>38</TotalTime>
  <Pages>79</Pages>
  <Words>25658</Words>
  <Characters>146256</Characters>
  <Application>Microsoft Office Word</Application>
  <DocSecurity>0</DocSecurity>
  <Lines>1218</Lines>
  <Paragraphs>343</Paragraphs>
  <ScaleCrop>false</ScaleCrop>
  <HeadingPairs>
    <vt:vector size="2" baseType="variant">
      <vt:variant>
        <vt:lpstr>Title</vt:lpstr>
      </vt:variant>
      <vt:variant>
        <vt:i4>1</vt:i4>
      </vt:variant>
    </vt:vector>
  </HeadingPairs>
  <TitlesOfParts>
    <vt:vector size="1" baseType="lpstr">
      <vt:lpstr>HP US All-in-One Proposal Template w-CvLtr.</vt:lpstr>
    </vt:vector>
  </TitlesOfParts>
  <Company>Hewlett-Packard</Company>
  <LinksUpToDate>false</LinksUpToDate>
  <CharactersWithSpaces>171571</CharactersWithSpaces>
  <SharedDoc>false</SharedDoc>
  <HLinks>
    <vt:vector size="18" baseType="variant">
      <vt:variant>
        <vt:i4>1310778</vt:i4>
      </vt:variant>
      <vt:variant>
        <vt:i4>35</vt:i4>
      </vt:variant>
      <vt:variant>
        <vt:i4>0</vt:i4>
      </vt:variant>
      <vt:variant>
        <vt:i4>5</vt:i4>
      </vt:variant>
      <vt:variant>
        <vt:lpwstr/>
      </vt:variant>
      <vt:variant>
        <vt:lpwstr>_Toc362438890</vt:lpwstr>
      </vt:variant>
      <vt:variant>
        <vt:i4>1376314</vt:i4>
      </vt:variant>
      <vt:variant>
        <vt:i4>29</vt:i4>
      </vt:variant>
      <vt:variant>
        <vt:i4>0</vt:i4>
      </vt:variant>
      <vt:variant>
        <vt:i4>5</vt:i4>
      </vt:variant>
      <vt:variant>
        <vt:lpwstr/>
      </vt:variant>
      <vt:variant>
        <vt:lpwstr>_Toc362438889</vt:lpwstr>
      </vt:variant>
      <vt:variant>
        <vt:i4>2621537</vt:i4>
      </vt:variant>
      <vt:variant>
        <vt:i4>0</vt:i4>
      </vt:variant>
      <vt:variant>
        <vt:i4>0</vt:i4>
      </vt:variant>
      <vt:variant>
        <vt:i4>5</vt:i4>
      </vt:variant>
      <vt:variant>
        <vt:lpwstr>http://www.hpe.com/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HP US All-in-One Proposal Template w-CvLtr.</dc:title>
  <dc:subject>Template Update Release Date: 10/16/12</dc:subject>
  <dc:creator>Cindy Reeves</dc:creator>
  <cp:keywords/>
  <cp:lastModifiedBy>Reeves, Cindy (Public Sector Proposal Manager)</cp:lastModifiedBy>
  <cp:revision>6</cp:revision>
  <cp:lastPrinted>2006-09-19T14:06:00Z</cp:lastPrinted>
  <dcterms:created xsi:type="dcterms:W3CDTF">2018-07-05T20:28:00Z</dcterms:created>
  <dcterms:modified xsi:type="dcterms:W3CDTF">2018-07-05T21:06:00Z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st">
    <vt:lpwstr>TITLE</vt:lpwstr>
  </property>
  <property fmtid="{D5CDD505-2E9C-101B-9397-08002B2CF9AE}" pid="3" name="Restricted Use?">
    <vt:lpwstr>0</vt:lpwstr>
  </property>
  <property fmtid="{D5CDD505-2E9C-101B-9397-08002B2CF9AE}" pid="4" name="Format">
    <vt:lpwstr>A4</vt:lpwstr>
  </property>
  <property fmtid="{D5CDD505-2E9C-101B-9397-08002B2CF9AE}" pid="5" name="ContentType">
    <vt:lpwstr>Document</vt:lpwstr>
  </property>
</Properties>
</file>